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942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.9pt;height:.85pt;mso-position-horizontal-relative:char;mso-position-vertical-relative:line" coordorigin="0,0" coordsize="18,17">
            <v:group style="position:absolute;left:4;top:4;width:10;height:9" coordorigin="4,4" coordsize="10,9">
              <v:shape style="position:absolute;left:4;top:4;width:10;height:9" coordorigin="4,4" coordsize="10,9" path="m4,13l14,4e" filled="false" stroked="true" strokeweight=".4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201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b/>
          <w:sz w:val="12"/>
        </w:rPr>
        <w:t>MUNICIPIUL BUCURESTI</w:t>
      </w:r>
      <w:r>
        <w:rPr>
          <w:rFonts w:ascii="Times New Roman"/>
          <w:sz w:val="1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spacing w:before="84"/>
        <w:ind w:left="0" w:right="119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b/>
          <w:sz w:val="12"/>
        </w:rPr>
        <w:t>Anexa  20 a</w:t>
      </w:r>
      <w:r>
        <w:rPr>
          <w:rFonts w:ascii="Times New Roman"/>
          <w:sz w:val="1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0"/>
        <w:ind w:left="347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b/>
          <w:sz w:val="13"/>
        </w:rPr>
        <w:t>Situatia</w:t>
      </w:r>
      <w:r>
        <w:rPr>
          <w:rFonts w:ascii="Times New Roman"/>
          <w:b/>
          <w:spacing w:val="3"/>
          <w:sz w:val="13"/>
        </w:rPr>
        <w:t> </w:t>
      </w:r>
      <w:r>
        <w:rPr>
          <w:rFonts w:ascii="Times New Roman"/>
          <w:b/>
          <w:sz w:val="13"/>
        </w:rPr>
        <w:t>sumelor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primite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direct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de</w:t>
      </w:r>
      <w:r>
        <w:rPr>
          <w:rFonts w:ascii="Times New Roman"/>
          <w:b/>
          <w:spacing w:val="3"/>
          <w:sz w:val="13"/>
        </w:rPr>
        <w:t> </w:t>
      </w:r>
      <w:r>
        <w:rPr>
          <w:rFonts w:ascii="Times New Roman"/>
          <w:b/>
          <w:sz w:val="13"/>
        </w:rPr>
        <w:t>la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Comisia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Europeana/alti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pacing w:val="-1"/>
          <w:sz w:val="13"/>
        </w:rPr>
        <w:t>donatori</w:t>
      </w:r>
      <w:r>
        <w:rPr>
          <w:rFonts w:ascii="Times New Roman"/>
          <w:b/>
          <w:spacing w:val="3"/>
          <w:sz w:val="13"/>
        </w:rPr>
        <w:t> </w:t>
      </w:r>
      <w:r>
        <w:rPr>
          <w:rFonts w:ascii="Times New Roman"/>
          <w:b/>
          <w:sz w:val="13"/>
        </w:rPr>
        <w:t>si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a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platilor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din</w:t>
      </w:r>
      <w:r>
        <w:rPr>
          <w:rFonts w:ascii="Times New Roman"/>
          <w:b/>
          <w:spacing w:val="4"/>
          <w:sz w:val="13"/>
        </w:rPr>
        <w:t> </w:t>
      </w:r>
      <w:r>
        <w:rPr>
          <w:rFonts w:ascii="Times New Roman"/>
          <w:b/>
          <w:sz w:val="13"/>
        </w:rPr>
        <w:t>FEN</w:t>
      </w:r>
      <w:r>
        <w:rPr>
          <w:rFonts w:ascii="Times New Roman"/>
          <w:b/>
          <w:spacing w:val="3"/>
          <w:sz w:val="13"/>
        </w:rPr>
        <w:t> </w:t>
      </w:r>
      <w:r>
        <w:rPr>
          <w:rFonts w:ascii="Times New Roman"/>
          <w:b/>
          <w:sz w:val="13"/>
        </w:rPr>
        <w:t>postaderare</w:t>
      </w:r>
      <w:r>
        <w:rPr>
          <w:rFonts w:ascii="Times New Roman"/>
          <w:sz w:val="1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0"/>
        <w:ind w:left="0" w:right="4223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b/>
          <w:sz w:val="12"/>
        </w:rPr>
        <w:t>31.03.2022</w:t>
      </w:r>
      <w:r>
        <w:rPr>
          <w:rFonts w:ascii="Times New Roman"/>
          <w:sz w:val="1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120" w:bottom="280" w:left="0" w:right="740"/>
        </w:sectPr>
      </w:pPr>
    </w:p>
    <w:p>
      <w:pPr>
        <w:spacing w:before="84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b/>
          <w:w w:val="95"/>
          <w:sz w:val="12"/>
        </w:rPr>
        <w:t>Pag.:</w:t>
      </w:r>
      <w:r>
        <w:rPr>
          <w:rFonts w:ascii="Times New Roman"/>
          <w:sz w:val="12"/>
        </w:rPr>
      </w:r>
    </w:p>
    <w:p>
      <w:pPr>
        <w:spacing w:before="83"/>
        <w:ind w:left="167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br w:type="column"/>
      </w:r>
      <w:r>
        <w:rPr>
          <w:rFonts w:ascii="Times New Roman"/>
          <w:b/>
          <w:sz w:val="12"/>
        </w:rPr>
        <w:t>1    </w:t>
      </w:r>
      <w:r>
        <w:rPr>
          <w:rFonts w:ascii="Times New Roman"/>
          <w:b/>
          <w:spacing w:val="10"/>
          <w:sz w:val="12"/>
        </w:rPr>
        <w:t> </w:t>
      </w:r>
      <w:r>
        <w:rPr>
          <w:rFonts w:ascii="Times New Roman"/>
          <w:b/>
          <w:position w:val="1"/>
          <w:sz w:val="12"/>
        </w:rPr>
        <w:t>-  lei -</w:t>
      </w:r>
      <w:r>
        <w:rPr>
          <w:rFonts w:ascii="Times New Roman"/>
          <w:sz w:val="1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16840" w:h="11910" w:orient="landscape"/>
          <w:pgMar w:top="120" w:bottom="280" w:left="0" w:right="740"/>
          <w:cols w:num="2" w:equalWidth="0">
            <w:col w:w="14108" w:space="40"/>
            <w:col w:w="1952"/>
          </w:cols>
        </w:sect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570"/>
        <w:gridCol w:w="752"/>
        <w:gridCol w:w="756"/>
        <w:gridCol w:w="760"/>
        <w:gridCol w:w="752"/>
        <w:gridCol w:w="764"/>
        <w:gridCol w:w="46"/>
        <w:gridCol w:w="818"/>
        <w:gridCol w:w="828"/>
        <w:gridCol w:w="806"/>
        <w:gridCol w:w="752"/>
        <w:gridCol w:w="728"/>
        <w:gridCol w:w="748"/>
        <w:gridCol w:w="702"/>
        <w:gridCol w:w="692"/>
        <w:gridCol w:w="694"/>
        <w:gridCol w:w="684"/>
        <w:gridCol w:w="742"/>
        <w:gridCol w:w="799"/>
      </w:tblGrid>
      <w:tr>
        <w:trPr>
          <w:trHeight w:val="185" w:hRule="exact"/>
        </w:trPr>
        <w:tc>
          <w:tcPr>
            <w:tcW w:w="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10" w:right="13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Cod indicator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25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959" w:right="559" w:hanging="366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Denumirea programului cu finantare UE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50" w:lineRule="auto"/>
              <w:ind w:left="161" w:right="9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Sold la inceputul anului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50" w:lineRule="auto"/>
              <w:ind w:left="157" w:right="16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Incasari FEN</w:t>
            </w:r>
            <w:r>
              <w:rPr>
                <w:rFonts w:ascii="Times New Roman"/>
                <w:sz w:val="12"/>
              </w:rPr>
            </w:r>
          </w:p>
          <w:p>
            <w:pPr>
              <w:pStyle w:val="TableParagraph"/>
              <w:spacing w:line="250" w:lineRule="auto"/>
              <w:ind w:left="157" w:right="154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(inclusiv top up)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85" w:right="93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Dobanzi/ comisioane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95" w:right="25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Incasari din conturi de debite FEN ani precedenti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64" w:type="dxa"/>
            <w:vMerge w:val="restart"/>
            <w:tcBorders>
              <w:top w:val="single" w:sz="3" w:space="0" w:color="000000"/>
              <w:left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50" w:lineRule="auto"/>
              <w:ind w:left="148" w:right="15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Plati efectuate din FEN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45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37" w:lineRule="exact"/>
              <w:ind w:right="633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din care plati, catre: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40" w:right="13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Diferente de curs favorabile/</w:t>
            </w:r>
            <w:r>
              <w:rPr>
                <w:rFonts w:ascii="Times New Roman"/>
                <w:sz w:val="12"/>
              </w:rPr>
            </w:r>
          </w:p>
          <w:p>
            <w:pPr>
              <w:pStyle w:val="TableParagraph"/>
              <w:spacing w:line="240" w:lineRule="auto"/>
              <w:ind w:left="4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nefavorabile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207" w:right="10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Sold la finele perioadei</w:t>
            </w:r>
            <w:r>
              <w:rPr>
                <w:rFonts w:ascii="Times New Roman"/>
                <w:sz w:val="12"/>
              </w:rPr>
            </w:r>
          </w:p>
        </w:tc>
      </w:tr>
      <w:tr>
        <w:trPr>
          <w:trHeight w:val="1152" w:hRule="exact"/>
        </w:trPr>
        <w:tc>
          <w:tcPr>
            <w:tcW w:w="5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5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6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64" w:type="dxa"/>
            <w:vMerge/>
            <w:tcBorders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94" w:right="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Autoritati de management/ Agentii de plati/etc.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40" w:lineRule="atLeast" w:before="19"/>
              <w:ind w:left="139" w:right="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Conturi venituri din privatizare si Conturi pt. indisponibi- litati temporate de fonduri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131" w:right="20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Buget de stat (inclusiv top up)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 w:before="81"/>
              <w:ind w:left="95" w:right="288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Bugete locale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2"/>
              <w:ind w:left="10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BASS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20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Somaj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1"/>
              <w:ind w:left="10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Sanatate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40" w:lineRule="atLeast" w:before="19"/>
              <w:ind w:left="40" w:right="45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Institutii finantate integral din venituri proprii/ venituri proprii si subventii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77" w:right="7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Alti beneficiati fermieri, ONG,</w:t>
            </w:r>
            <w:r>
              <w:rPr>
                <w:rFonts w:ascii="Times New Roman"/>
                <w:sz w:val="12"/>
              </w:rPr>
            </w:r>
          </w:p>
          <w:p>
            <w:pPr>
              <w:pStyle w:val="TableParagraph"/>
              <w:spacing w:line="250" w:lineRule="auto"/>
              <w:ind w:left="77" w:right="17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soc.com. etc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40" w:right="33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Comisia Europeana/ alti donatori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7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7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"/>
              <w:ind w:right="252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A</w:t>
            </w:r>
            <w:r>
              <w:rPr>
                <w:rFonts w:ascii="Arial"/>
                <w:sz w:val="9"/>
              </w:rPr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66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01</w:t>
            </w:r>
            <w:r>
              <w:rPr>
                <w:rFonts w:ascii="Arial"/>
                <w:sz w:val="9"/>
              </w:rPr>
            </w:r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left="35" w:right="0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02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128" w:lineRule="exact"/>
              <w:ind w:right="0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03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left="27" w:right="0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04</w:t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61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05</w:t>
            </w:r>
            <w:r>
              <w:rPr>
                <w:rFonts w:ascii="Arial"/>
                <w:sz w:val="9"/>
              </w:rPr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15"/>
              <w:ind w:left="70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06</w:t>
            </w:r>
            <w:r>
              <w:rPr>
                <w:rFonts w:ascii="Arial"/>
                <w:sz w:val="9"/>
              </w:rPr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"/>
              <w:ind w:left="80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07</w:t>
            </w:r>
            <w:r>
              <w:rPr>
                <w:rFonts w:ascii="Arial"/>
                <w:sz w:val="9"/>
              </w:rPr>
            </w:r>
          </w:p>
        </w:tc>
        <w:tc>
          <w:tcPr>
            <w:tcW w:w="75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7"/>
              <w:ind w:left="43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w w:val="105"/>
                <w:sz w:val="9"/>
              </w:rPr>
              <w:t>08</w:t>
            </w:r>
            <w:r>
              <w:rPr>
                <w:rFonts w:ascii="Arial"/>
                <w:sz w:val="9"/>
              </w:rPr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right="25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09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right="6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10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left="34" w:right="0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11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right="78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12</w:t>
            </w:r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left="9" w:right="0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right="0"/>
              <w:jc w:val="center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14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TableParagraph"/>
              <w:spacing w:line="128" w:lineRule="exact"/>
              <w:ind w:left="211" w:right="0"/>
              <w:jc w:val="left"/>
              <w:rPr>
                <w:rFonts w:ascii="Courier New" w:hAnsi="Courier New" w:cs="Courier New" w:eastAsia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15</w:t>
            </w:r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500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28"/>
              <w:ind w:left="3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85"/>
              <w:ind w:left="3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32022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85"/>
              <w:ind w:left="3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32099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2570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443" w:lineRule="auto"/>
              <w:ind w:left="23" w:right="232"/>
              <w:jc w:val="left"/>
              <w:rPr>
                <w:rFonts w:ascii="Courier New" w:hAnsi="Courier New" w:cs="Courier New" w:eastAsia="Courier New"/>
                <w:sz w:val="9"/>
                <w:szCs w:val="9"/>
              </w:rPr>
            </w:pPr>
            <w:r>
              <w:rPr>
                <w:rFonts w:ascii="Courier New"/>
                <w:w w:val="105"/>
                <w:sz w:val="9"/>
              </w:rPr>
              <w:t>Programe</w:t>
            </w:r>
            <w:r>
              <w:rPr>
                <w:rFonts w:ascii="Courier New"/>
                <w:spacing w:val="5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din</w:t>
            </w:r>
            <w:r>
              <w:rPr>
                <w:rFonts w:ascii="Courier New"/>
                <w:spacing w:val="5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Fondul</w:t>
            </w:r>
            <w:r>
              <w:rPr>
                <w:rFonts w:ascii="Courier New"/>
                <w:spacing w:val="5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Social</w:t>
            </w:r>
            <w:r>
              <w:rPr>
                <w:rFonts w:ascii="Courier New"/>
                <w:spacing w:val="5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European(FSE)</w:t>
            </w:r>
            <w:r>
              <w:rPr>
                <w:rFonts w:ascii="Courier New"/>
                <w:w w:val="106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aferente</w:t>
            </w:r>
            <w:r>
              <w:rPr>
                <w:rFonts w:ascii="Courier New"/>
                <w:spacing w:val="6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cadrului</w:t>
            </w:r>
            <w:r>
              <w:rPr>
                <w:rFonts w:ascii="Courier New"/>
                <w:spacing w:val="6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financiar</w:t>
            </w:r>
            <w:r>
              <w:rPr>
                <w:rFonts w:ascii="Courier New"/>
                <w:spacing w:val="7"/>
                <w:w w:val="105"/>
                <w:sz w:val="9"/>
              </w:rPr>
              <w:t> </w:t>
            </w:r>
            <w:r>
              <w:rPr>
                <w:rFonts w:ascii="Courier New"/>
                <w:w w:val="105"/>
                <w:sz w:val="9"/>
              </w:rPr>
              <w:t>2014-2020</w:t>
            </w:r>
            <w:r>
              <w:rPr>
                <w:rFonts w:ascii="Courier New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23" w:right="0"/>
              <w:jc w:val="left"/>
              <w:rPr>
                <w:rFonts w:ascii="Courier New" w:hAnsi="Courier New" w:cs="Courier New" w:eastAsia="Courier New"/>
                <w:sz w:val="9"/>
                <w:szCs w:val="9"/>
              </w:rPr>
            </w:pPr>
            <w:r>
              <w:rPr>
                <w:rFonts w:ascii="Courier New"/>
                <w:w w:val="105"/>
                <w:sz w:val="9"/>
              </w:rPr>
              <w:t>TOTAL</w:t>
            </w:r>
            <w:r>
              <w:rPr>
                <w:rFonts w:ascii="Courier New"/>
                <w:sz w:val="9"/>
              </w:rPr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56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367" w:right="-5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9.377.210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67" w:right="-5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9.377.210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right="11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9.326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1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9.326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10" w:type="dxa"/>
            <w:gridSpan w:val="2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35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18.735.768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18.735.768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1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0"/>
              <w:ind w:left="41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9.367.884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9.367.884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9"/>
              <w:ind w:left="34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9.367.884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4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9.367.884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/>
          </w:p>
        </w:tc>
        <w:tc>
          <w:tcPr>
            <w:tcW w:w="799" w:type="dxa"/>
            <w:tcBorders>
              <w:top w:val="single" w:sz="3" w:space="0" w:color="000000"/>
              <w:left w:val="single" w:sz="3" w:space="0" w:color="000000"/>
              <w:bottom w:val="nil" w:sz="6" w:space="0" w:color="auto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7"/>
              <w:ind w:left="358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-9.349.232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-9.349.232</w:t>
            </w:r>
            <w:r>
              <w:rPr>
                <w:rFonts w:ascii="Times New Roman"/>
                <w:sz w:val="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120" w:bottom="280" w:left="0" w:right="74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1491" w:right="470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120" w:bottom="280" w:left="0" w:right="740"/>
      <w:cols w:num="3" w:equalWidth="0">
        <w:col w:w="2955" w:space="2735"/>
        <w:col w:w="3600" w:space="3102"/>
        <w:col w:w="37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21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2022-06-29T08:22:42Z</dcterms:created>
  <dcterms:modified xsi:type="dcterms:W3CDTF">2022-06-29T08:22:42Z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