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90" w:right="6096"/>
        <w:jc w:val="center"/>
      </w:pPr>
      <w:r>
        <w:rPr>
          <w:spacing w:val="-1"/>
        </w:rPr>
        <w:t>CONTUL</w:t>
      </w:r>
      <w:r>
        <w:rPr>
          <w:spacing w:val="19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3"/>
        </w:rPr>
        <w:t> </w:t>
      </w:r>
      <w:r>
        <w:rPr>
          <w:spacing w:val="-5"/>
        </w:rPr>
        <w:t>AL</w:t>
      </w:r>
      <w:r>
        <w:rPr>
          <w:spacing w:val="19"/>
        </w:rPr>
        <w:t> </w:t>
      </w:r>
      <w:r>
        <w:rPr/>
        <w:t>IMPRUMUTURILOR</w:t>
      </w:r>
      <w:r>
        <w:rPr>
          <w:spacing w:val="20"/>
        </w:rPr>
        <w:t> </w:t>
      </w:r>
      <w:r>
        <w:rPr>
          <w:spacing w:val="-2"/>
        </w:rPr>
        <w:t>I</w:t>
      </w:r>
      <w:r>
        <w:rPr>
          <w:spacing w:val="-1"/>
        </w:rPr>
        <w:t>NTERNE</w:t>
      </w:r>
      <w:r>
        <w:rPr>
          <w:spacing w:val="21"/>
          <w:w w:val="109"/>
        </w:rPr>
        <w:t> </w:t>
      </w:r>
      <w:r>
        <w:rPr>
          <w:spacing w:val="-1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622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620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617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503" w:right="7363"/>
        <w:jc w:val="center"/>
      </w:pP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imprumuturi</w:t>
      </w:r>
      <w:r>
        <w:rPr>
          <w:spacing w:val="31"/>
          <w:w w:val="110"/>
        </w:rPr>
        <w:t> </w:t>
      </w:r>
      <w:r>
        <w:rPr>
          <w:w w:val="110"/>
        </w:rPr>
        <w:t>interne</w:t>
      </w:r>
      <w:r>
        <w:rPr>
          <w:spacing w:val="26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615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612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610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45.328.434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4.671.566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 w:before="79"/>
        <w:ind w:left="1172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762" w:val="left" w:leader="none"/>
        </w:tabs>
        <w:spacing w:before="104"/>
        <w:ind w:left="5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4812" w:right="609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626" w:val="left" w:leader="none"/>
        </w:tabs>
        <w:spacing w:line="250" w:lineRule="exact" w:before="10"/>
        <w:ind w:left="7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435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622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2023-07-12T12:05:08Z</dcterms:created>
  <dcterms:modified xsi:type="dcterms:W3CDTF">2023-07-12T12:05:08Z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