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6468FA97" w:rsidR="00DC5C6B" w:rsidRPr="00D36E40" w:rsidRDefault="00515983" w:rsidP="00DA773B">
      <w:pPr>
        <w:ind w:left="-709"/>
        <w:rPr>
          <w:b/>
          <w:sz w:val="18"/>
          <w:szCs w:val="18"/>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3C3CF108"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1F2841F"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515983">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65DF450E" w:rsidR="00612F95" w:rsidRPr="004B5DBD" w:rsidRDefault="00612F95" w:rsidP="00612F95">
      <w:pPr>
        <w:tabs>
          <w:tab w:val="left" w:pos="709"/>
        </w:tabs>
        <w:spacing w:line="360" w:lineRule="auto"/>
        <w:ind w:firstLine="720"/>
        <w:jc w:val="both"/>
        <w:rPr>
          <w:sz w:val="22"/>
          <w:szCs w:val="22"/>
          <w:lang w:val="ro-RO"/>
        </w:rPr>
      </w:pPr>
      <w:bookmarkStart w:id="2" w:name="_Hlk20395310"/>
      <w:r>
        <w:rPr>
          <w:b/>
          <w:sz w:val="22"/>
          <w:szCs w:val="22"/>
          <w:lang w:val="ro-RO"/>
        </w:rPr>
        <w:t xml:space="preserve">LUNA ENGINEERING GROUP </w:t>
      </w:r>
      <w:r w:rsidRPr="004B5DBD">
        <w:rPr>
          <w:b/>
          <w:sz w:val="22"/>
          <w:szCs w:val="22"/>
          <w:lang w:val="ro-RO"/>
        </w:rPr>
        <w:t xml:space="preserve"> S.R.L.</w:t>
      </w:r>
      <w:bookmarkEnd w:id="2"/>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515983">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515983">
        <w:rPr>
          <w:sz w:val="22"/>
          <w:szCs w:val="22"/>
          <w:lang w:val="ro-RO"/>
        </w:rPr>
        <w:t>......................</w:t>
      </w:r>
      <w:r w:rsidRPr="004B5DBD">
        <w:rPr>
          <w:sz w:val="22"/>
          <w:szCs w:val="22"/>
          <w:lang w:val="ro-RO"/>
        </w:rPr>
        <w:t xml:space="preserve"> deschis la Trezoreria </w:t>
      </w:r>
      <w:r>
        <w:rPr>
          <w:sz w:val="22"/>
          <w:szCs w:val="22"/>
          <w:lang w:val="ro-RO"/>
        </w:rPr>
        <w:t xml:space="preserve">Sector </w:t>
      </w:r>
      <w:r w:rsidR="00515983">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515983">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22F3532A"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8" w:name="_Hlk32226549"/>
      <w:bookmarkStart w:id="9" w:name="_Hlk32227683"/>
      <w:bookmarkEnd w:id="7"/>
      <w:r w:rsidR="00B23FAD">
        <w:rPr>
          <w:sz w:val="22"/>
          <w:szCs w:val="22"/>
          <w:lang w:val="fr-FR"/>
        </w:rPr>
        <w:t xml:space="preserve"> </w:t>
      </w:r>
      <w:proofErr w:type="spellStart"/>
      <w:r w:rsidR="00B774A2" w:rsidRPr="00B774A2">
        <w:rPr>
          <w:sz w:val="22"/>
          <w:szCs w:val="22"/>
          <w:lang w:val="fr-FR"/>
        </w:rPr>
        <w:t>Str</w:t>
      </w:r>
      <w:proofErr w:type="spellEnd"/>
      <w:r w:rsidR="00B774A2" w:rsidRPr="00B774A2">
        <w:rPr>
          <w:sz w:val="22"/>
          <w:szCs w:val="22"/>
          <w:lang w:val="fr-FR"/>
        </w:rPr>
        <w:t xml:space="preserve">. </w:t>
      </w:r>
      <w:bookmarkEnd w:id="8"/>
      <w:bookmarkEnd w:id="9"/>
      <w:proofErr w:type="spellStart"/>
      <w:r w:rsidR="00A74728">
        <w:rPr>
          <w:sz w:val="22"/>
          <w:szCs w:val="22"/>
          <w:lang w:val="fr-FR"/>
        </w:rPr>
        <w:t>Turnul</w:t>
      </w:r>
      <w:proofErr w:type="spellEnd"/>
      <w:r w:rsidR="00A74728">
        <w:rPr>
          <w:sz w:val="22"/>
          <w:szCs w:val="22"/>
          <w:lang w:val="fr-FR"/>
        </w:rPr>
        <w:t xml:space="preserve"> Eiffel</w:t>
      </w:r>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1E06ED94"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A74728">
        <w:rPr>
          <w:b/>
          <w:sz w:val="22"/>
          <w:szCs w:val="22"/>
          <w:lang w:val="fr-FR"/>
        </w:rPr>
        <w:t>65.569</w:t>
      </w:r>
      <w:r w:rsidR="00CC4492">
        <w:rPr>
          <w:b/>
          <w:sz w:val="22"/>
          <w:szCs w:val="22"/>
          <w:lang w:val="fr-FR"/>
        </w:rPr>
        <w:t>,00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A74728">
        <w:rPr>
          <w:b/>
          <w:bCs/>
          <w:sz w:val="22"/>
          <w:szCs w:val="22"/>
          <w:lang w:val="fr-FR"/>
        </w:rPr>
        <w:t>55.100</w:t>
      </w:r>
      <w:r w:rsidR="00AA0F06">
        <w:rPr>
          <w:b/>
          <w:bCs/>
          <w:sz w:val="22"/>
          <w:szCs w:val="22"/>
          <w:lang w:val="fr-FR"/>
        </w:rPr>
        <w:t>,00</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A74728">
        <w:rPr>
          <w:b/>
          <w:sz w:val="22"/>
          <w:szCs w:val="22"/>
          <w:lang w:val="fr-FR"/>
        </w:rPr>
        <w:t>10.469</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 xml:space="preserve">5.2. </w:t>
      </w:r>
      <w:proofErr w:type="spellStart"/>
      <w:r w:rsidRPr="00C1029F">
        <w:rPr>
          <w:sz w:val="22"/>
          <w:szCs w:val="22"/>
          <w:lang w:val="fr-FR"/>
        </w:rPr>
        <w:t>Prețul</w:t>
      </w:r>
      <w:proofErr w:type="spellEnd"/>
      <w:r w:rsidRPr="00C1029F">
        <w:rPr>
          <w:sz w:val="22"/>
          <w:szCs w:val="22"/>
          <w:lang w:val="fr-FR"/>
        </w:rPr>
        <w:t xml:space="preserve"> nu </w:t>
      </w:r>
      <w:proofErr w:type="spellStart"/>
      <w:r w:rsidRPr="00C1029F">
        <w:rPr>
          <w:sz w:val="22"/>
          <w:szCs w:val="22"/>
          <w:lang w:val="fr-FR"/>
        </w:rPr>
        <w:t>conţine</w:t>
      </w:r>
      <w:proofErr w:type="spellEnd"/>
      <w:r w:rsidRPr="00C1029F">
        <w:rPr>
          <w:sz w:val="22"/>
          <w:szCs w:val="22"/>
          <w:lang w:val="fr-FR"/>
        </w:rPr>
        <w:t xml:space="preserve"> </w:t>
      </w:r>
      <w:proofErr w:type="spellStart"/>
      <w:r w:rsidRPr="00C1029F">
        <w:rPr>
          <w:sz w:val="22"/>
          <w:szCs w:val="22"/>
          <w:lang w:val="fr-FR"/>
        </w:rPr>
        <w:t>taxele</w:t>
      </w:r>
      <w:proofErr w:type="spellEnd"/>
      <w:r w:rsidRPr="00C1029F">
        <w:rPr>
          <w:sz w:val="22"/>
          <w:szCs w:val="22"/>
          <w:lang w:val="fr-FR"/>
        </w:rPr>
        <w:t xml:space="preserve"> </w:t>
      </w:r>
      <w:proofErr w:type="spellStart"/>
      <w:r w:rsidRPr="00C1029F">
        <w:rPr>
          <w:sz w:val="22"/>
          <w:szCs w:val="22"/>
          <w:lang w:val="fr-FR"/>
        </w:rPr>
        <w:t>necesare</w:t>
      </w:r>
      <w:proofErr w:type="spellEnd"/>
      <w:r w:rsidRPr="00C1029F">
        <w:rPr>
          <w:sz w:val="22"/>
          <w:szCs w:val="22"/>
          <w:lang w:val="fr-FR"/>
        </w:rPr>
        <w:t xml:space="preserve"> </w:t>
      </w:r>
      <w:proofErr w:type="spellStart"/>
      <w:r w:rsidRPr="00C1029F">
        <w:rPr>
          <w:sz w:val="22"/>
          <w:szCs w:val="22"/>
          <w:lang w:val="fr-FR"/>
        </w:rPr>
        <w:t>pentru</w:t>
      </w:r>
      <w:proofErr w:type="spellEnd"/>
      <w:r w:rsidRPr="00C1029F">
        <w:rPr>
          <w:sz w:val="22"/>
          <w:szCs w:val="22"/>
          <w:lang w:val="fr-FR"/>
        </w:rPr>
        <w:t xml:space="preserve"> </w:t>
      </w:r>
      <w:proofErr w:type="spellStart"/>
      <w:r w:rsidRPr="00C1029F">
        <w:rPr>
          <w:sz w:val="22"/>
          <w:szCs w:val="22"/>
          <w:lang w:val="fr-FR"/>
        </w:rPr>
        <w:t>obţinerea</w:t>
      </w:r>
      <w:proofErr w:type="spellEnd"/>
      <w:r w:rsidRPr="00C1029F">
        <w:rPr>
          <w:sz w:val="22"/>
          <w:szCs w:val="22"/>
          <w:lang w:val="fr-FR"/>
        </w:rPr>
        <w:t xml:space="preserve"> </w:t>
      </w:r>
      <w:proofErr w:type="spellStart"/>
      <w:r w:rsidRPr="00C1029F">
        <w:rPr>
          <w:sz w:val="22"/>
          <w:szCs w:val="22"/>
          <w:lang w:val="fr-FR"/>
        </w:rPr>
        <w:t>avizelor</w:t>
      </w:r>
      <w:proofErr w:type="spellEnd"/>
      <w:r w:rsidRPr="00C1029F">
        <w:rPr>
          <w:sz w:val="22"/>
          <w:szCs w:val="22"/>
          <w:lang w:val="fr-FR"/>
        </w:rPr>
        <w:t xml:space="preserve">, </w:t>
      </w:r>
      <w:proofErr w:type="spellStart"/>
      <w:r w:rsidRPr="00C1029F">
        <w:rPr>
          <w:sz w:val="22"/>
          <w:szCs w:val="22"/>
          <w:lang w:val="fr-FR"/>
        </w:rPr>
        <w:t>acestea</w:t>
      </w:r>
      <w:proofErr w:type="spellEnd"/>
      <w:r w:rsidRPr="00C1029F">
        <w:rPr>
          <w:sz w:val="22"/>
          <w:szCs w:val="22"/>
          <w:lang w:val="fr-FR"/>
        </w:rPr>
        <w:t xml:space="preserve"> </w:t>
      </w:r>
      <w:proofErr w:type="spellStart"/>
      <w:r w:rsidRPr="00C1029F">
        <w:rPr>
          <w:sz w:val="22"/>
          <w:szCs w:val="22"/>
          <w:lang w:val="fr-FR"/>
        </w:rPr>
        <w:t>fiind</w:t>
      </w:r>
      <w:proofErr w:type="spellEnd"/>
      <w:r w:rsidRPr="00C1029F">
        <w:rPr>
          <w:sz w:val="22"/>
          <w:szCs w:val="22"/>
          <w:lang w:val="fr-FR"/>
        </w:rPr>
        <w:t xml:space="preserve"> </w:t>
      </w:r>
      <w:proofErr w:type="spellStart"/>
      <w:r w:rsidRPr="00C1029F">
        <w:rPr>
          <w:sz w:val="22"/>
          <w:szCs w:val="22"/>
          <w:lang w:val="fr-FR"/>
        </w:rPr>
        <w:t>achitate</w:t>
      </w:r>
      <w:proofErr w:type="spellEnd"/>
      <w:r w:rsidRPr="00C1029F">
        <w:rPr>
          <w:sz w:val="22"/>
          <w:szCs w:val="22"/>
          <w:lang w:val="fr-FR"/>
        </w:rPr>
        <w:t xml:space="preserve"> de </w:t>
      </w:r>
      <w:proofErr w:type="spellStart"/>
      <w:r w:rsidRPr="00C1029F">
        <w:rPr>
          <w:sz w:val="22"/>
          <w:szCs w:val="22"/>
          <w:lang w:val="fr-FR"/>
        </w:rPr>
        <w:t>către</w:t>
      </w:r>
      <w:proofErr w:type="spellEnd"/>
      <w:r w:rsidRPr="00C1029F">
        <w:rPr>
          <w:sz w:val="22"/>
          <w:szCs w:val="22"/>
          <w:lang w:val="fr-FR"/>
        </w:rPr>
        <w:t xml:space="preserve"> </w:t>
      </w:r>
      <w:proofErr w:type="spellStart"/>
      <w:r w:rsidRPr="00C1029F">
        <w:rPr>
          <w:sz w:val="22"/>
          <w:szCs w:val="22"/>
          <w:lang w:val="fr-FR"/>
        </w:rPr>
        <w:t>Achizitor</w:t>
      </w:r>
      <w:proofErr w:type="spellEnd"/>
      <w:r w:rsidRPr="00C1029F">
        <w:rPr>
          <w:sz w:val="22"/>
          <w:szCs w:val="22"/>
          <w:lang w:val="fr-FR"/>
        </w:rPr>
        <w:t>.</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10"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10"/>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6C78950E"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11" w:name="_Hlk32234760"/>
      <w:proofErr w:type="spellStart"/>
      <w:r w:rsidR="00B23FAD" w:rsidRPr="00B23FAD">
        <w:rPr>
          <w:sz w:val="22"/>
          <w:szCs w:val="22"/>
          <w:lang w:val="fr-FR"/>
        </w:rPr>
        <w:t>Str</w:t>
      </w:r>
      <w:proofErr w:type="spellEnd"/>
      <w:r w:rsidR="00B23FAD" w:rsidRPr="00B23FAD">
        <w:rPr>
          <w:sz w:val="22"/>
          <w:szCs w:val="22"/>
          <w:lang w:val="fr-FR"/>
        </w:rPr>
        <w:t xml:space="preserve">. </w:t>
      </w:r>
      <w:proofErr w:type="spellStart"/>
      <w:r w:rsidR="00A74728">
        <w:rPr>
          <w:sz w:val="22"/>
          <w:szCs w:val="22"/>
          <w:lang w:val="fr-FR"/>
        </w:rPr>
        <w:t>Turnul</w:t>
      </w:r>
      <w:proofErr w:type="spellEnd"/>
      <w:r w:rsidR="00A74728">
        <w:rPr>
          <w:sz w:val="22"/>
          <w:szCs w:val="22"/>
          <w:lang w:val="fr-FR"/>
        </w:rPr>
        <w:t xml:space="preserve"> Eiffel</w:t>
      </w:r>
      <w:bookmarkEnd w:id="11"/>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4E3A138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7C60F8">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6D570698" w:rsidR="00612F95" w:rsidRPr="004F28C6" w:rsidRDefault="00612F95" w:rsidP="00612F95">
      <w:pPr>
        <w:spacing w:line="360" w:lineRule="auto"/>
        <w:ind w:right="-360"/>
        <w:jc w:val="both"/>
        <w:rPr>
          <w:sz w:val="22"/>
          <w:szCs w:val="22"/>
          <w:lang w:val="it-IT"/>
        </w:rPr>
      </w:pPr>
      <w:r w:rsidRPr="004F28C6">
        <w:rPr>
          <w:sz w:val="22"/>
          <w:szCs w:val="22"/>
          <w:lang w:val="it-IT"/>
        </w:rPr>
        <w:t>9.</w:t>
      </w:r>
      <w:r w:rsidR="007C60F8">
        <w:rPr>
          <w:sz w:val="22"/>
          <w:szCs w:val="22"/>
          <w:lang w:val="it-IT"/>
        </w:rPr>
        <w:t>3</w:t>
      </w:r>
      <w:r w:rsidRPr="004F28C6">
        <w:rPr>
          <w:sz w:val="22"/>
          <w:szCs w:val="22"/>
          <w:lang w:val="it-IT"/>
        </w:rPr>
        <w:t>. Serviciile vor fi prestate în conformitate cu cerinţele naţionale şi internaţionale în domeniu.</w:t>
      </w:r>
    </w:p>
    <w:p w14:paraId="6018A2F4" w14:textId="5884EC1F" w:rsidR="00612F95" w:rsidRPr="004F28C6" w:rsidRDefault="00612F95" w:rsidP="00612F95">
      <w:pPr>
        <w:spacing w:line="360" w:lineRule="auto"/>
        <w:ind w:right="-360"/>
        <w:jc w:val="both"/>
        <w:rPr>
          <w:sz w:val="22"/>
          <w:szCs w:val="22"/>
          <w:lang w:val="it-IT"/>
        </w:rPr>
      </w:pPr>
      <w:bookmarkStart w:id="12" w:name="_Hlk14248173"/>
      <w:r w:rsidRPr="004F28C6">
        <w:rPr>
          <w:sz w:val="22"/>
          <w:szCs w:val="22"/>
          <w:lang w:val="it-IT"/>
        </w:rPr>
        <w:t>9.</w:t>
      </w:r>
      <w:r w:rsidR="007C60F8">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3" w:name="_Hlk17880355"/>
      <w:r w:rsidRPr="004F28C6">
        <w:rPr>
          <w:sz w:val="22"/>
          <w:szCs w:val="22"/>
          <w:lang w:val="it-IT"/>
        </w:rPr>
        <w:t>Achizitor</w:t>
      </w:r>
      <w:bookmarkEnd w:id="13"/>
      <w:r w:rsidRPr="004F28C6">
        <w:rPr>
          <w:sz w:val="22"/>
          <w:szCs w:val="22"/>
          <w:lang w:val="it-IT"/>
        </w:rPr>
        <w:t>.</w:t>
      </w:r>
    </w:p>
    <w:p w14:paraId="55AE329A" w14:textId="4299A6B1"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7C60F8">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642AB440"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7C60F8">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1EA0A75B"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A74728">
        <w:rPr>
          <w:sz w:val="22"/>
          <w:szCs w:val="22"/>
          <w:lang w:val="it-IT"/>
        </w:rPr>
        <w:t>2.755</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4" w:name="_Hlk10621061"/>
      <w:r w:rsidRPr="004F28C6">
        <w:rPr>
          <w:sz w:val="22"/>
          <w:szCs w:val="22"/>
          <w:lang w:val="it-IT"/>
        </w:rPr>
        <w:t>Prestatorului</w:t>
      </w:r>
      <w:bookmarkEnd w:id="14"/>
      <w:r w:rsidRPr="004F28C6">
        <w:rPr>
          <w:sz w:val="22"/>
          <w:szCs w:val="22"/>
          <w:lang w:val="it-IT"/>
        </w:rPr>
        <w:t>, precizând totodată obligaţiile care nu au fost respectate.</w:t>
      </w:r>
      <w:r w:rsidRPr="004F28C6">
        <w:t xml:space="preserve"> </w:t>
      </w:r>
      <w:r w:rsidRPr="004F28C6">
        <w:rPr>
          <w:sz w:val="22"/>
          <w:szCs w:val="22"/>
          <w:lang w:val="it-IT"/>
        </w:rPr>
        <w:t xml:space="preserve">In această situaţie, Achizitorul va reţine din contul bancar deschis cu titlu de </w:t>
      </w:r>
      <w:r w:rsidRPr="004F28C6">
        <w:rPr>
          <w:sz w:val="22"/>
          <w:szCs w:val="22"/>
          <w:lang w:val="it-IT"/>
        </w:rPr>
        <w:lastRenderedPageBreak/>
        <w:t>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5"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lastRenderedPageBreak/>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5"/>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lastRenderedPageBreak/>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lastRenderedPageBreak/>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6" w:name="_Hlk426793"/>
    </w:p>
    <w:bookmarkEnd w:id="16"/>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7" w:name="_Hlk10621865"/>
      <w:bookmarkStart w:id="18" w:name="_Hlk529953291"/>
      <w:r>
        <w:rPr>
          <w:b/>
          <w:sz w:val="22"/>
          <w:szCs w:val="22"/>
        </w:rPr>
        <w:t xml:space="preserve">       </w:t>
      </w:r>
      <w:bookmarkStart w:id="19" w:name="_Hlk20395375"/>
      <w:bookmarkEnd w:id="17"/>
      <w:r>
        <w:rPr>
          <w:b/>
          <w:sz w:val="22"/>
          <w:szCs w:val="22"/>
          <w:lang w:val="ro-RO"/>
        </w:rPr>
        <w:t xml:space="preserve">LUNA ENGINEERING GROUP </w:t>
      </w:r>
      <w:r w:rsidRPr="004B5DBD">
        <w:rPr>
          <w:b/>
          <w:sz w:val="22"/>
          <w:szCs w:val="22"/>
          <w:lang w:val="ro-RO"/>
        </w:rPr>
        <w:t xml:space="preserve"> S.R.L.</w:t>
      </w:r>
      <w:bookmarkEnd w:id="19"/>
    </w:p>
    <w:bookmarkEnd w:id="18"/>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2"/>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01D7368E" w:rsidR="00612F95" w:rsidRPr="004F28C6" w:rsidRDefault="00612F95" w:rsidP="00612F95">
      <w:pPr>
        <w:spacing w:line="360" w:lineRule="auto"/>
        <w:jc w:val="both"/>
        <w:outlineLvl w:val="4"/>
        <w:rPr>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r w:rsidR="0081640E" w:rsidRPr="0081640E">
        <w:rPr>
          <w:b/>
          <w:sz w:val="22"/>
          <w:szCs w:val="22"/>
          <w:lang w:val="fr-FR"/>
        </w:rPr>
        <w:t xml:space="preserve"> </w:t>
      </w:r>
      <w:proofErr w:type="spellStart"/>
      <w:r w:rsidR="00A74728" w:rsidRPr="00A74728">
        <w:rPr>
          <w:b/>
          <w:sz w:val="22"/>
          <w:szCs w:val="22"/>
          <w:lang w:val="fr-FR"/>
        </w:rPr>
        <w:t>Str</w:t>
      </w:r>
      <w:proofErr w:type="spellEnd"/>
      <w:r w:rsidR="00A74728" w:rsidRPr="00A74728">
        <w:rPr>
          <w:b/>
          <w:sz w:val="22"/>
          <w:szCs w:val="22"/>
          <w:lang w:val="fr-FR"/>
        </w:rPr>
        <w:t xml:space="preserve">. </w:t>
      </w:r>
      <w:proofErr w:type="spellStart"/>
      <w:r w:rsidR="00A74728" w:rsidRPr="00A74728">
        <w:rPr>
          <w:b/>
          <w:sz w:val="22"/>
          <w:szCs w:val="22"/>
          <w:lang w:val="fr-FR"/>
        </w:rPr>
        <w:t>Turnul</w:t>
      </w:r>
      <w:proofErr w:type="spellEnd"/>
      <w:r w:rsidR="00A74728" w:rsidRPr="00A74728">
        <w:rPr>
          <w:b/>
          <w:sz w:val="22"/>
          <w:szCs w:val="22"/>
          <w:lang w:val="fr-FR"/>
        </w:rPr>
        <w:t xml:space="preserve"> Eiffel</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32827B6" w:rsidR="00612F95" w:rsidRDefault="00A74728" w:rsidP="00612F95">
            <w:pPr>
              <w:jc w:val="right"/>
              <w:rPr>
                <w:sz w:val="22"/>
                <w:szCs w:val="22"/>
                <w:lang w:val="es-ES" w:eastAsia="ro-RO"/>
              </w:rPr>
            </w:pPr>
            <w:r>
              <w:rPr>
                <w:sz w:val="22"/>
                <w:szCs w:val="22"/>
                <w:lang w:val="es-ES" w:eastAsia="ro-RO"/>
              </w:rPr>
              <w:t>48.100</w:t>
            </w:r>
            <w:r w:rsidR="004B55B8">
              <w:rPr>
                <w:sz w:val="22"/>
                <w:szCs w:val="22"/>
                <w:lang w:val="es-ES" w:eastAsia="ro-RO"/>
              </w:rPr>
              <w:t>,00</w:t>
            </w:r>
          </w:p>
        </w:tc>
        <w:tc>
          <w:tcPr>
            <w:tcW w:w="1620" w:type="dxa"/>
            <w:tcBorders>
              <w:bottom w:val="single" w:sz="4" w:space="0" w:color="auto"/>
            </w:tcBorders>
          </w:tcPr>
          <w:p w14:paraId="1B020219" w14:textId="560557B8" w:rsidR="00612F95" w:rsidRDefault="00A74728" w:rsidP="00612F95">
            <w:pPr>
              <w:jc w:val="right"/>
              <w:rPr>
                <w:sz w:val="22"/>
                <w:szCs w:val="22"/>
                <w:lang w:val="es-ES" w:eastAsia="ro-RO"/>
              </w:rPr>
            </w:pPr>
            <w:r>
              <w:rPr>
                <w:sz w:val="22"/>
                <w:szCs w:val="22"/>
                <w:lang w:val="es-ES" w:eastAsia="ro-RO"/>
              </w:rPr>
              <w:t>48.100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41A024D2" w:rsidR="00612F95" w:rsidRPr="004F28C6" w:rsidRDefault="00A74728" w:rsidP="00612F95">
            <w:pPr>
              <w:ind w:left="-108" w:firstLine="108"/>
              <w:jc w:val="right"/>
              <w:rPr>
                <w:b/>
                <w:bCs/>
                <w:color w:val="000000"/>
                <w:sz w:val="22"/>
                <w:szCs w:val="22"/>
              </w:rPr>
            </w:pPr>
            <w:r>
              <w:rPr>
                <w:b/>
                <w:bCs/>
                <w:color w:val="000000"/>
                <w:sz w:val="22"/>
                <w:szCs w:val="22"/>
              </w:rPr>
              <w:t>55.100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3E02E191" w:rsidR="00612F95" w:rsidRDefault="00A74728" w:rsidP="00612F95">
            <w:pPr>
              <w:ind w:left="-108" w:firstLine="108"/>
              <w:jc w:val="right"/>
              <w:rPr>
                <w:b/>
                <w:sz w:val="22"/>
                <w:szCs w:val="22"/>
                <w:lang w:val="es-ES" w:eastAsia="ro-RO"/>
              </w:rPr>
            </w:pPr>
            <w:r>
              <w:rPr>
                <w:b/>
                <w:sz w:val="22"/>
                <w:szCs w:val="22"/>
                <w:lang w:val="es-ES" w:eastAsia="ro-RO"/>
              </w:rPr>
              <w:t>10.469</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42F3A67" w:rsidR="00612F95" w:rsidRDefault="00AF24AC" w:rsidP="00612F95">
            <w:pPr>
              <w:ind w:left="-108" w:firstLine="108"/>
              <w:jc w:val="right"/>
              <w:rPr>
                <w:b/>
                <w:sz w:val="22"/>
                <w:szCs w:val="22"/>
                <w:lang w:val="es-ES" w:eastAsia="ro-RO"/>
              </w:rPr>
            </w:pPr>
            <w:r>
              <w:rPr>
                <w:b/>
                <w:sz w:val="22"/>
                <w:szCs w:val="22"/>
                <w:lang w:val="es-ES" w:eastAsia="ro-RO"/>
              </w:rPr>
              <w:t>65.569</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079C93FE" w14:textId="77777777" w:rsidR="00612F95" w:rsidRPr="004F28C6" w:rsidRDefault="00612F95" w:rsidP="00612F95">
      <w:pPr>
        <w:tabs>
          <w:tab w:val="left" w:pos="709"/>
        </w:tabs>
        <w:jc w:val="both"/>
        <w:rPr>
          <w:bCs/>
          <w:sz w:val="22"/>
          <w:szCs w:val="22"/>
          <w:lang w:val="es-ES"/>
        </w:rPr>
      </w:pPr>
    </w:p>
    <w:p w14:paraId="3EB402CB" w14:textId="77777777" w:rsidR="00612F95" w:rsidRPr="004F28C6" w:rsidRDefault="00612F95" w:rsidP="00612F95">
      <w:pPr>
        <w:jc w:val="both"/>
        <w:rPr>
          <w:bCs/>
          <w:sz w:val="22"/>
          <w:szCs w:val="22"/>
          <w:lang w:val="es-ES"/>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7F9558" w14:textId="77777777" w:rsidR="001A40AC" w:rsidRDefault="001A40AC" w:rsidP="002D7275">
      <w:r>
        <w:separator/>
      </w:r>
    </w:p>
  </w:endnote>
  <w:endnote w:type="continuationSeparator" w:id="0">
    <w:p w14:paraId="742D3B03" w14:textId="77777777" w:rsidR="001A40AC" w:rsidRDefault="001A40A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E03D50" w14:textId="77777777" w:rsidR="001A40AC" w:rsidRDefault="001A40AC" w:rsidP="002D7275">
      <w:r>
        <w:separator/>
      </w:r>
    </w:p>
  </w:footnote>
  <w:footnote w:type="continuationSeparator" w:id="0">
    <w:p w14:paraId="243719E4" w14:textId="77777777" w:rsidR="001A40AC" w:rsidRDefault="001A40AC"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A40AC"/>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3F3AEC"/>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1598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4D7A"/>
    <w:rsid w:val="007414E4"/>
    <w:rsid w:val="00747488"/>
    <w:rsid w:val="00757AE9"/>
    <w:rsid w:val="00762284"/>
    <w:rsid w:val="00765C8A"/>
    <w:rsid w:val="00795010"/>
    <w:rsid w:val="007B1F34"/>
    <w:rsid w:val="007B4673"/>
    <w:rsid w:val="007B752D"/>
    <w:rsid w:val="007C60F8"/>
    <w:rsid w:val="007E4529"/>
    <w:rsid w:val="007E5D9B"/>
    <w:rsid w:val="007E72C9"/>
    <w:rsid w:val="007F22FF"/>
    <w:rsid w:val="0081640E"/>
    <w:rsid w:val="00835105"/>
    <w:rsid w:val="008372BB"/>
    <w:rsid w:val="00840A01"/>
    <w:rsid w:val="00847AB9"/>
    <w:rsid w:val="00854D1B"/>
    <w:rsid w:val="00866E26"/>
    <w:rsid w:val="008745FA"/>
    <w:rsid w:val="008C4FC2"/>
    <w:rsid w:val="008D7CC0"/>
    <w:rsid w:val="008E7F56"/>
    <w:rsid w:val="008F25F1"/>
    <w:rsid w:val="009011EF"/>
    <w:rsid w:val="00905F89"/>
    <w:rsid w:val="00911155"/>
    <w:rsid w:val="009303F7"/>
    <w:rsid w:val="00935152"/>
    <w:rsid w:val="009446AB"/>
    <w:rsid w:val="00956EA4"/>
    <w:rsid w:val="00981FF2"/>
    <w:rsid w:val="00983BE7"/>
    <w:rsid w:val="009A6E4A"/>
    <w:rsid w:val="009C4BF9"/>
    <w:rsid w:val="009D4454"/>
    <w:rsid w:val="009F14C0"/>
    <w:rsid w:val="009F6D6F"/>
    <w:rsid w:val="00A02867"/>
    <w:rsid w:val="00A13084"/>
    <w:rsid w:val="00A13DE0"/>
    <w:rsid w:val="00A431F9"/>
    <w:rsid w:val="00A646AB"/>
    <w:rsid w:val="00A66DD6"/>
    <w:rsid w:val="00A74728"/>
    <w:rsid w:val="00A83743"/>
    <w:rsid w:val="00A93464"/>
    <w:rsid w:val="00AA0F06"/>
    <w:rsid w:val="00AA36D8"/>
    <w:rsid w:val="00AA6CD8"/>
    <w:rsid w:val="00AF24AC"/>
    <w:rsid w:val="00B0260B"/>
    <w:rsid w:val="00B0305F"/>
    <w:rsid w:val="00B23FAD"/>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Antet%20ADP%202020</Template>
  <TotalTime>796</TotalTime>
  <Pages>9</Pages>
  <Words>3478</Words>
  <Characters>19829</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23261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2020-02-03T09:04:00Z</cp:lastPrinted>
  <dcterms:created xsi:type="dcterms:W3CDTF">2020-01-13T08:21:00Z</dcterms:created>
  <dcterms:modified xsi:type="dcterms:W3CDTF">2020-11-23T07:27:00Z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