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74E9251" w14:textId="29321EB9" w:rsidR="004C36D6" w:rsidRPr="00840A01" w:rsidRDefault="004C36D6" w:rsidP="004C36D6">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C501AD3" w:rsidR="00DC5C6B" w:rsidRPr="00D36E40" w:rsidRDefault="00DC5C6B" w:rsidP="00DA773B">
      <w:pPr>
        <w:ind w:left="-709"/>
        <w:rPr>
          <w:b/>
          <w:sz w:val="18"/>
          <w:szCs w:val="18"/>
        </w:rPr>
      </w:pPr>
    </w:p>
    <w:p w14:paraId="237AC6E4" w14:textId="572C742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8772C06"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C36D6">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9D18AD7"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4C36D6">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4C36D6">
        <w:rPr>
          <w:sz w:val="22"/>
          <w:szCs w:val="22"/>
          <w:lang w:val="ro-RO"/>
        </w:rPr>
        <w:t>..........................</w:t>
      </w:r>
      <w:r w:rsidRPr="004B5DBD">
        <w:rPr>
          <w:sz w:val="22"/>
          <w:szCs w:val="22"/>
          <w:lang w:val="ro-RO"/>
        </w:rPr>
        <w:t xml:space="preserve"> deschis la Trezoreria </w:t>
      </w:r>
      <w:r>
        <w:rPr>
          <w:sz w:val="22"/>
          <w:szCs w:val="22"/>
          <w:lang w:val="ro-RO"/>
        </w:rPr>
        <w:t xml:space="preserve">Sector </w:t>
      </w:r>
      <w:r w:rsidR="004C36D6">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4C36D6">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90510D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2F7ECA">
        <w:rPr>
          <w:sz w:val="22"/>
          <w:szCs w:val="22"/>
          <w:lang w:val="fr-FR"/>
        </w:rPr>
        <w:t>Str.</w:t>
      </w:r>
      <w:r w:rsidR="005E3252">
        <w:rPr>
          <w:sz w:val="22"/>
          <w:szCs w:val="22"/>
          <w:lang w:val="fr-FR"/>
        </w:rPr>
        <w:t xml:space="preserve"> </w:t>
      </w:r>
      <w:r w:rsidR="00AD70B9">
        <w:rPr>
          <w:sz w:val="22"/>
          <w:szCs w:val="22"/>
          <w:lang w:val="fr-FR"/>
        </w:rPr>
        <w:t>Tampa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7603CD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D70B9">
        <w:rPr>
          <w:b/>
          <w:sz w:val="22"/>
          <w:szCs w:val="22"/>
          <w:lang w:val="fr-FR"/>
        </w:rPr>
        <w:t>43.435</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D70B9">
        <w:rPr>
          <w:b/>
          <w:bCs/>
          <w:sz w:val="22"/>
          <w:szCs w:val="22"/>
          <w:lang w:val="fr-FR"/>
        </w:rPr>
        <w:t>36.500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D70B9">
        <w:rPr>
          <w:b/>
          <w:sz w:val="22"/>
          <w:szCs w:val="22"/>
          <w:lang w:val="fr-FR"/>
        </w:rPr>
        <w:t>6.935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3EA0A79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2F7ECA">
        <w:rPr>
          <w:sz w:val="22"/>
          <w:szCs w:val="22"/>
          <w:lang w:val="fr-FR"/>
        </w:rPr>
        <w:t xml:space="preserve">Str. </w:t>
      </w:r>
      <w:r w:rsidR="00AD70B9">
        <w:rPr>
          <w:sz w:val="22"/>
          <w:szCs w:val="22"/>
          <w:lang w:val="fr-FR"/>
        </w:rPr>
        <w:t>Tampa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6FF5F3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82A67">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A9CDA20" w:rsidR="00612F95" w:rsidRPr="004F28C6" w:rsidRDefault="00612F95" w:rsidP="00612F95">
      <w:pPr>
        <w:spacing w:line="360" w:lineRule="auto"/>
        <w:ind w:right="-360"/>
        <w:jc w:val="both"/>
        <w:rPr>
          <w:sz w:val="22"/>
          <w:szCs w:val="22"/>
          <w:lang w:val="it-IT"/>
        </w:rPr>
      </w:pPr>
      <w:r w:rsidRPr="004F28C6">
        <w:rPr>
          <w:sz w:val="22"/>
          <w:szCs w:val="22"/>
          <w:lang w:val="it-IT"/>
        </w:rPr>
        <w:t>9.</w:t>
      </w:r>
      <w:r w:rsidR="00182A67">
        <w:rPr>
          <w:sz w:val="22"/>
          <w:szCs w:val="22"/>
          <w:lang w:val="it-IT"/>
        </w:rPr>
        <w:t>3</w:t>
      </w:r>
      <w:r w:rsidRPr="004F28C6">
        <w:rPr>
          <w:sz w:val="22"/>
          <w:szCs w:val="22"/>
          <w:lang w:val="it-IT"/>
        </w:rPr>
        <w:t>. Serviciile vor fi prestate în conformitate cu cerinţele naţionale şi internaţionale în domeniu.</w:t>
      </w:r>
    </w:p>
    <w:p w14:paraId="6018A2F4" w14:textId="27977C7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82A67">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C28917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82A67">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7D558C0E"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182A67">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C7FEFBF"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D70B9">
        <w:rPr>
          <w:sz w:val="22"/>
          <w:szCs w:val="22"/>
          <w:lang w:val="it-IT"/>
        </w:rPr>
        <w:t>1.825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F7892A3"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2F7ECA">
        <w:rPr>
          <w:b/>
          <w:sz w:val="22"/>
          <w:szCs w:val="22"/>
          <w:lang w:val="fr-FR"/>
        </w:rPr>
        <w:t xml:space="preserve">Str. </w:t>
      </w:r>
      <w:r w:rsidR="00AD70B9">
        <w:rPr>
          <w:b/>
          <w:sz w:val="22"/>
          <w:szCs w:val="22"/>
          <w:lang w:val="fr-FR"/>
        </w:rPr>
        <w:t>Tampa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DEADC86" w:rsidR="00612F95" w:rsidRDefault="00AD70B9" w:rsidP="00612F95">
            <w:pPr>
              <w:jc w:val="right"/>
              <w:rPr>
                <w:sz w:val="22"/>
                <w:szCs w:val="22"/>
                <w:lang w:val="es-ES" w:eastAsia="ro-RO"/>
              </w:rPr>
            </w:pPr>
            <w:r>
              <w:rPr>
                <w:sz w:val="22"/>
                <w:szCs w:val="22"/>
                <w:lang w:val="es-ES" w:eastAsia="ro-RO"/>
              </w:rPr>
              <w:t>29.500</w:t>
            </w:r>
            <w:r w:rsidR="004B55B8">
              <w:rPr>
                <w:sz w:val="22"/>
                <w:szCs w:val="22"/>
                <w:lang w:val="es-ES" w:eastAsia="ro-RO"/>
              </w:rPr>
              <w:t>,00</w:t>
            </w:r>
          </w:p>
        </w:tc>
        <w:tc>
          <w:tcPr>
            <w:tcW w:w="1620" w:type="dxa"/>
            <w:tcBorders>
              <w:bottom w:val="single" w:sz="4" w:space="0" w:color="auto"/>
            </w:tcBorders>
          </w:tcPr>
          <w:p w14:paraId="1B020219" w14:textId="58C980BF" w:rsidR="00612F95" w:rsidRDefault="00AD70B9" w:rsidP="00612F95">
            <w:pPr>
              <w:jc w:val="right"/>
              <w:rPr>
                <w:sz w:val="22"/>
                <w:szCs w:val="22"/>
                <w:lang w:val="es-ES" w:eastAsia="ro-RO"/>
              </w:rPr>
            </w:pPr>
            <w:r>
              <w:rPr>
                <w:sz w:val="22"/>
                <w:szCs w:val="22"/>
                <w:lang w:val="es-ES" w:eastAsia="ro-RO"/>
              </w:rPr>
              <w:t>29.500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40738C9" w:rsidR="00612F95" w:rsidRPr="004F28C6" w:rsidRDefault="00AD70B9" w:rsidP="00612F95">
            <w:pPr>
              <w:ind w:left="-108" w:firstLine="108"/>
              <w:jc w:val="right"/>
              <w:rPr>
                <w:b/>
                <w:bCs/>
                <w:color w:val="000000"/>
                <w:sz w:val="22"/>
                <w:szCs w:val="22"/>
              </w:rPr>
            </w:pPr>
            <w:r>
              <w:rPr>
                <w:b/>
                <w:bCs/>
                <w:color w:val="000000"/>
                <w:sz w:val="22"/>
                <w:szCs w:val="22"/>
              </w:rPr>
              <w:t>36.500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BA7BEED" w:rsidR="00612F95" w:rsidRDefault="00AD70B9" w:rsidP="00612F95">
            <w:pPr>
              <w:ind w:left="-108" w:firstLine="108"/>
              <w:jc w:val="right"/>
              <w:rPr>
                <w:b/>
                <w:sz w:val="22"/>
                <w:szCs w:val="22"/>
                <w:lang w:val="es-ES" w:eastAsia="ro-RO"/>
              </w:rPr>
            </w:pPr>
            <w:r>
              <w:rPr>
                <w:b/>
                <w:sz w:val="22"/>
                <w:szCs w:val="22"/>
                <w:lang w:val="es-ES" w:eastAsia="ro-RO"/>
              </w:rPr>
              <w:t>6.935</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FD9DEA9" w:rsidR="00612F95" w:rsidRDefault="00AD70B9" w:rsidP="00612F95">
            <w:pPr>
              <w:ind w:left="-108" w:firstLine="108"/>
              <w:jc w:val="right"/>
              <w:rPr>
                <w:b/>
                <w:sz w:val="22"/>
                <w:szCs w:val="22"/>
                <w:lang w:val="es-ES" w:eastAsia="ro-RO"/>
              </w:rPr>
            </w:pPr>
            <w:r>
              <w:rPr>
                <w:b/>
                <w:sz w:val="22"/>
                <w:szCs w:val="22"/>
                <w:lang w:val="es-ES" w:eastAsia="ro-RO"/>
              </w:rPr>
              <w:t>43.435</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3EB41" w14:textId="77777777" w:rsidR="00C15DC0" w:rsidRDefault="00C15DC0" w:rsidP="002D7275">
      <w:r>
        <w:separator/>
      </w:r>
    </w:p>
  </w:endnote>
  <w:endnote w:type="continuationSeparator" w:id="0">
    <w:p w14:paraId="53930304" w14:textId="77777777" w:rsidR="00C15DC0" w:rsidRDefault="00C15DC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29C59" w14:textId="77777777" w:rsidR="008E72ED" w:rsidRDefault="008E72E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E72ED">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387F6" w14:textId="77777777" w:rsidR="008E72ED" w:rsidRDefault="008E72E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03645" w14:textId="77777777" w:rsidR="00C15DC0" w:rsidRDefault="00C15DC0" w:rsidP="002D7275">
      <w:r>
        <w:separator/>
      </w:r>
    </w:p>
  </w:footnote>
  <w:footnote w:type="continuationSeparator" w:id="0">
    <w:p w14:paraId="6DB55428" w14:textId="77777777" w:rsidR="00C15DC0" w:rsidRDefault="00C15DC0"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0328" w14:textId="77777777" w:rsidR="008E72ED" w:rsidRDefault="008E72E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226D" w14:textId="77777777" w:rsidR="008E72ED" w:rsidRDefault="008E72E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28FF" w14:textId="77777777" w:rsidR="008E72ED" w:rsidRDefault="008E72E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08F0"/>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2A67"/>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2F7ECA"/>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2726"/>
    <w:rsid w:val="0042640A"/>
    <w:rsid w:val="00444835"/>
    <w:rsid w:val="004816BC"/>
    <w:rsid w:val="0048225C"/>
    <w:rsid w:val="004824D9"/>
    <w:rsid w:val="004B1038"/>
    <w:rsid w:val="004B362C"/>
    <w:rsid w:val="004B55B8"/>
    <w:rsid w:val="004C36D6"/>
    <w:rsid w:val="004D4596"/>
    <w:rsid w:val="004F7A48"/>
    <w:rsid w:val="00500CA3"/>
    <w:rsid w:val="0052597F"/>
    <w:rsid w:val="00540ED0"/>
    <w:rsid w:val="0056020F"/>
    <w:rsid w:val="0056157A"/>
    <w:rsid w:val="00576403"/>
    <w:rsid w:val="005805DC"/>
    <w:rsid w:val="00596EC9"/>
    <w:rsid w:val="005E3252"/>
    <w:rsid w:val="00601D03"/>
    <w:rsid w:val="00612F95"/>
    <w:rsid w:val="00617A4E"/>
    <w:rsid w:val="0062639C"/>
    <w:rsid w:val="006324F7"/>
    <w:rsid w:val="0063770D"/>
    <w:rsid w:val="00642F01"/>
    <w:rsid w:val="006516DA"/>
    <w:rsid w:val="006624B5"/>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2ED"/>
    <w:rsid w:val="008E7F56"/>
    <w:rsid w:val="008F25F1"/>
    <w:rsid w:val="009011EF"/>
    <w:rsid w:val="00905F89"/>
    <w:rsid w:val="00911155"/>
    <w:rsid w:val="00915256"/>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AD70B9"/>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15DC0"/>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714BC"/>
    <w:rsid w:val="00F839FA"/>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20104</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23186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2020-12-02T13:09:00Z</dcterms:created>
  <dcterms:modified xsi:type="dcterms:W3CDTF">2020-12-02T13:09:00Z</dcterms:modified>
</cp:coreProperties>
</file>