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78773C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D1B2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4A93327"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4D1B28">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4D1B28">
        <w:rPr>
          <w:bCs/>
          <w:sz w:val="22"/>
          <w:szCs w:val="22"/>
          <w:lang w:val="ro-RO"/>
        </w:rPr>
        <w:t>..................</w:t>
      </w:r>
      <w:r w:rsidRPr="003D22BE">
        <w:rPr>
          <w:bCs/>
          <w:sz w:val="22"/>
          <w:szCs w:val="22"/>
          <w:lang w:val="ro-RO"/>
        </w:rPr>
        <w:t xml:space="preserve"> deschis la Trezoreria Sector </w:t>
      </w:r>
      <w:r w:rsidR="004D1B28">
        <w:rPr>
          <w:bCs/>
          <w:sz w:val="22"/>
          <w:szCs w:val="22"/>
          <w:lang w:val="ro-RO"/>
        </w:rPr>
        <w:t>..</w:t>
      </w:r>
      <w:r w:rsidRPr="003D22BE">
        <w:rPr>
          <w:bCs/>
          <w:sz w:val="22"/>
          <w:szCs w:val="22"/>
          <w:lang w:val="ro-RO"/>
        </w:rPr>
        <w:t xml:space="preserve">,  reprezentat prin </w:t>
      </w:r>
      <w:r w:rsidR="004D1B28">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64A545B"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705641">
        <w:rPr>
          <w:sz w:val="22"/>
          <w:szCs w:val="22"/>
          <w:lang w:val="fr-FR"/>
        </w:rPr>
        <w:t>Seneslav Voievod</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76647B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705641">
        <w:rPr>
          <w:b/>
          <w:sz w:val="22"/>
          <w:szCs w:val="22"/>
          <w:lang w:val="fr-FR"/>
        </w:rPr>
        <w:t>59.300,00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705641">
        <w:rPr>
          <w:b/>
          <w:bCs/>
          <w:sz w:val="22"/>
          <w:szCs w:val="22"/>
          <w:lang w:val="fr-FR"/>
        </w:rPr>
        <w:t>49.831,93</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726565">
        <w:rPr>
          <w:b/>
          <w:sz w:val="22"/>
          <w:szCs w:val="22"/>
          <w:lang w:val="fr-FR"/>
        </w:rPr>
        <w:t>9.</w:t>
      </w:r>
      <w:r w:rsidR="00705641">
        <w:rPr>
          <w:b/>
          <w:sz w:val="22"/>
          <w:szCs w:val="22"/>
          <w:lang w:val="fr-FR"/>
        </w:rPr>
        <w:t>468,07</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A4535B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705641">
        <w:rPr>
          <w:sz w:val="22"/>
          <w:szCs w:val="22"/>
          <w:lang w:val="fr-FR"/>
        </w:rPr>
        <w:t>Seneslav Voievod</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9FB6DB6"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26565">
        <w:rPr>
          <w:sz w:val="22"/>
          <w:szCs w:val="22"/>
          <w:lang w:val="it-IT"/>
        </w:rPr>
        <w:t>2.</w:t>
      </w:r>
      <w:r w:rsidR="00705641">
        <w:rPr>
          <w:sz w:val="22"/>
          <w:szCs w:val="22"/>
          <w:lang w:val="it-IT"/>
        </w:rPr>
        <w:t>491,60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ADE36CA"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705641">
        <w:rPr>
          <w:b/>
          <w:sz w:val="22"/>
          <w:szCs w:val="22"/>
          <w:lang w:val="fr-FR"/>
        </w:rPr>
        <w:t>Seneslav Voievod</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7E97EC1" w:rsidR="00612F95" w:rsidRDefault="00335749" w:rsidP="00612F95">
            <w:pPr>
              <w:jc w:val="right"/>
              <w:rPr>
                <w:sz w:val="22"/>
                <w:szCs w:val="22"/>
                <w:lang w:val="es-ES" w:eastAsia="ro-RO"/>
              </w:rPr>
            </w:pPr>
            <w:r>
              <w:rPr>
                <w:sz w:val="22"/>
                <w:szCs w:val="22"/>
                <w:lang w:val="es-ES" w:eastAsia="ro-RO"/>
              </w:rPr>
              <w:t>42.831,93</w:t>
            </w:r>
          </w:p>
        </w:tc>
        <w:tc>
          <w:tcPr>
            <w:tcW w:w="1620" w:type="dxa"/>
            <w:tcBorders>
              <w:bottom w:val="single" w:sz="4" w:space="0" w:color="auto"/>
            </w:tcBorders>
          </w:tcPr>
          <w:p w14:paraId="1B020219" w14:textId="072D0C77" w:rsidR="00612F95" w:rsidRDefault="00335749" w:rsidP="00612F95">
            <w:pPr>
              <w:jc w:val="right"/>
              <w:rPr>
                <w:sz w:val="22"/>
                <w:szCs w:val="22"/>
                <w:lang w:val="es-ES" w:eastAsia="ro-RO"/>
              </w:rPr>
            </w:pPr>
            <w:r>
              <w:rPr>
                <w:sz w:val="22"/>
                <w:szCs w:val="22"/>
                <w:lang w:val="es-ES" w:eastAsia="ro-RO"/>
              </w:rPr>
              <w:t>42.831,93</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3565184" w:rsidR="00612F95" w:rsidRPr="004F28C6" w:rsidRDefault="00705641" w:rsidP="00612F95">
            <w:pPr>
              <w:ind w:left="-108" w:firstLine="108"/>
              <w:jc w:val="right"/>
              <w:rPr>
                <w:b/>
                <w:bCs/>
                <w:color w:val="000000"/>
                <w:sz w:val="22"/>
                <w:szCs w:val="22"/>
              </w:rPr>
            </w:pPr>
            <w:r>
              <w:rPr>
                <w:b/>
                <w:bCs/>
                <w:color w:val="000000"/>
                <w:sz w:val="22"/>
                <w:szCs w:val="22"/>
              </w:rPr>
              <w:t>49.831,93</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6E39B21" w:rsidR="00612F95" w:rsidRDefault="00705641" w:rsidP="00612F95">
            <w:pPr>
              <w:ind w:left="-108" w:firstLine="108"/>
              <w:jc w:val="right"/>
              <w:rPr>
                <w:b/>
                <w:sz w:val="22"/>
                <w:szCs w:val="22"/>
                <w:lang w:val="es-ES" w:eastAsia="ro-RO"/>
              </w:rPr>
            </w:pPr>
            <w:r>
              <w:rPr>
                <w:b/>
                <w:sz w:val="22"/>
                <w:szCs w:val="22"/>
                <w:lang w:val="es-ES" w:eastAsia="ro-RO"/>
              </w:rPr>
              <w:t>9.468,07</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6DD11E6" w:rsidR="00612F95" w:rsidRDefault="00705641" w:rsidP="00612F95">
            <w:pPr>
              <w:ind w:left="-108" w:firstLine="108"/>
              <w:jc w:val="right"/>
              <w:rPr>
                <w:b/>
                <w:sz w:val="22"/>
                <w:szCs w:val="22"/>
                <w:lang w:val="es-ES" w:eastAsia="ro-RO"/>
              </w:rPr>
            </w:pPr>
            <w:r>
              <w:rPr>
                <w:b/>
                <w:sz w:val="22"/>
                <w:szCs w:val="22"/>
                <w:lang w:val="es-ES" w:eastAsia="ro-RO"/>
              </w:rPr>
              <w:t>59.300,00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4F155691" w14:textId="3A1C0FB9" w:rsidR="00A75D42" w:rsidRPr="004F28C6" w:rsidRDefault="00A75D42" w:rsidP="00A75D42">
      <w:pPr>
        <w:tabs>
          <w:tab w:val="left" w:pos="709"/>
        </w:tabs>
        <w:jc w:val="both"/>
        <w:rPr>
          <w:b/>
          <w:sz w:val="22"/>
          <w:szCs w:val="22"/>
          <w:lang w:val="it-IT" w:eastAsia="pl-PL"/>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F83D9" w14:textId="77777777" w:rsidR="002A53F3" w:rsidRDefault="002A53F3" w:rsidP="002D7275">
      <w:r>
        <w:separator/>
      </w:r>
    </w:p>
  </w:endnote>
  <w:endnote w:type="continuationSeparator" w:id="0">
    <w:p w14:paraId="4FC4D52A" w14:textId="77777777" w:rsidR="002A53F3" w:rsidRDefault="002A53F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CAC71" w14:textId="77777777" w:rsidR="00305BB4" w:rsidRDefault="00305BB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305BB4">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CC6B0" w14:textId="77777777" w:rsidR="00305BB4" w:rsidRDefault="00305BB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06E64" w14:textId="77777777" w:rsidR="002A53F3" w:rsidRDefault="002A53F3" w:rsidP="002D7275">
      <w:r>
        <w:separator/>
      </w:r>
    </w:p>
  </w:footnote>
  <w:footnote w:type="continuationSeparator" w:id="0">
    <w:p w14:paraId="02A5E2FA" w14:textId="77777777" w:rsidR="002A53F3" w:rsidRDefault="002A53F3"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157C4" w14:textId="77777777" w:rsidR="00305BB4" w:rsidRDefault="00305BB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F6D21" w14:textId="77777777" w:rsidR="00305BB4" w:rsidRDefault="00305BB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50ED2" w14:textId="77777777" w:rsidR="00305BB4" w:rsidRDefault="00305BB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1ABB"/>
    <w:rsid w:val="001749C4"/>
    <w:rsid w:val="00187336"/>
    <w:rsid w:val="00202983"/>
    <w:rsid w:val="00213993"/>
    <w:rsid w:val="002317B3"/>
    <w:rsid w:val="00267D8A"/>
    <w:rsid w:val="0027754E"/>
    <w:rsid w:val="002A53F3"/>
    <w:rsid w:val="002B7043"/>
    <w:rsid w:val="002C2DF0"/>
    <w:rsid w:val="002C7A92"/>
    <w:rsid w:val="002D01F8"/>
    <w:rsid w:val="002D4A9B"/>
    <w:rsid w:val="002D7275"/>
    <w:rsid w:val="002E6CE8"/>
    <w:rsid w:val="002E6D13"/>
    <w:rsid w:val="002E74C3"/>
    <w:rsid w:val="002F1322"/>
    <w:rsid w:val="00305BB4"/>
    <w:rsid w:val="00331802"/>
    <w:rsid w:val="00335683"/>
    <w:rsid w:val="00335749"/>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1B28"/>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7F443C"/>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84F52"/>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3501</Words>
  <Characters>19961</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2020-11-27T11:39:00Z</dcterms:created>
  <dcterms:modified xsi:type="dcterms:W3CDTF">2020-11-27T11:39:00Z</dcterms:modified>
</cp:coreProperties>
</file>