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3BFA2AC7"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4</w:t>
      </w:r>
      <w:r w:rsidR="0086137C">
        <w:rPr>
          <w:rFonts w:ascii="Times New Roman" w:eastAsia="Times New Roman" w:hAnsi="Times New Roman" w:cs="Times New Roman"/>
          <w:b/>
          <w:bCs/>
          <w:sz w:val="24"/>
          <w:szCs w:val="24"/>
          <w:lang w:val="ro-RO"/>
        </w:rPr>
        <w:t>9</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6F05385C"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E42DF5">
        <w:rPr>
          <w:rFonts w:eastAsia="Arial Unicode MS"/>
          <w:szCs w:val="24"/>
        </w:rPr>
        <w:t>..............</w:t>
      </w:r>
      <w:r w:rsidR="00600519" w:rsidRPr="000F5A84">
        <w:rPr>
          <w:rFonts w:eastAsia="Arial Unicode MS"/>
          <w:szCs w:val="24"/>
        </w:rPr>
        <w:t xml:space="preserve">, cont IBAN nr. </w:t>
      </w:r>
      <w:r w:rsidR="00E42DF5">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78913D48"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E42DF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E42DF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E42DF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E42DF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E42DF5">
        <w:t>………………..</w:t>
      </w:r>
      <w:r w:rsidR="00D320E6" w:rsidRPr="000F5A84">
        <w:rPr>
          <w:rFonts w:ascii="Times New Roman" w:eastAsia="Arial Unicode MS" w:hAnsi="Times New Roman" w:cs="Times New Roman"/>
          <w:sz w:val="24"/>
          <w:szCs w:val="24"/>
        </w:rPr>
        <w:t xml:space="preserve"> număr de înmatriculare </w:t>
      </w:r>
      <w:r w:rsidR="00E42DF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E42DF5">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E42DF5">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E42DF5">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2AC9187D"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0C6351" w:rsidRPr="00F27042">
        <w:rPr>
          <w:rFonts w:ascii="Times New Roman" w:eastAsia="Times New Roman" w:hAnsi="Times New Roman" w:cs="Times New Roman"/>
          <w:b/>
          <w:sz w:val="24"/>
          <w:szCs w:val="24"/>
          <w:lang w:val="ro-RO"/>
        </w:rPr>
        <w:t xml:space="preserve">Grădinița </w:t>
      </w:r>
      <w:r w:rsidR="00870926">
        <w:rPr>
          <w:rFonts w:ascii="Times New Roman" w:eastAsia="Times New Roman" w:hAnsi="Times New Roman" w:cs="Times New Roman"/>
          <w:b/>
          <w:sz w:val="24"/>
          <w:szCs w:val="24"/>
          <w:lang w:val="ro-RO"/>
        </w:rPr>
        <w:t>nr.133</w:t>
      </w:r>
      <w:r w:rsidR="000C6351" w:rsidRPr="00F27042">
        <w:rPr>
          <w:rFonts w:ascii="Times New Roman" w:eastAsia="Times New Roman" w:hAnsi="Times New Roman" w:cs="Times New Roman"/>
          <w:b/>
          <w:sz w:val="24"/>
          <w:szCs w:val="24"/>
          <w:lang w:val="ro-RO"/>
        </w:rPr>
        <w:t>– Consolidare-Reabilitare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 xml:space="preserve">să remedieze orice eventuale defecţiuni ale acestor Lucrări în Perioada de Garanţie, în conformitate cu </w:t>
      </w:r>
      <w:r w:rsidR="00BD38C6" w:rsidRPr="000F5A84">
        <w:rPr>
          <w:rFonts w:ascii="Times New Roman" w:eastAsia="Times New Roman" w:hAnsi="Times New Roman" w:cs="Times New Roman"/>
          <w:bCs/>
          <w:sz w:val="24"/>
          <w:szCs w:val="24"/>
          <w:lang w:val="ro-RO"/>
        </w:rPr>
        <w:lastRenderedPageBreak/>
        <w:t>prevederile Contractului.</w:t>
      </w:r>
    </w:p>
    <w:p w14:paraId="3906735A" w14:textId="21844ED0" w:rsidR="00567C7D" w:rsidRPr="00870926" w:rsidRDefault="00256282" w:rsidP="007B2ECD">
      <w:pPr>
        <w:pStyle w:val="ListParagraph"/>
        <w:numPr>
          <w:ilvl w:val="0"/>
          <w:numId w:val="183"/>
        </w:numPr>
        <w:jc w:val="both"/>
        <w:rPr>
          <w:rFonts w:ascii="Times New Roman" w:eastAsia="Times New Roman" w:hAnsi="Times New Roman" w:cs="Times New Roman"/>
          <w:bCs/>
          <w:sz w:val="24"/>
          <w:szCs w:val="24"/>
          <w:lang w:val="en-GB"/>
        </w:rPr>
      </w:pPr>
      <w:r w:rsidRPr="00870926">
        <w:rPr>
          <w:rFonts w:ascii="Times New Roman" w:eastAsia="Times New Roman" w:hAnsi="Times New Roman" w:cs="Times New Roman"/>
          <w:bCs/>
          <w:sz w:val="24"/>
          <w:szCs w:val="24"/>
          <w:lang w:val="ro-RO"/>
        </w:rPr>
        <w:t xml:space="preserve">Beneficiarul convine cu Antreprenorul să plătească pentru </w:t>
      </w:r>
      <w:r w:rsidR="00D40885" w:rsidRPr="00870926">
        <w:rPr>
          <w:rFonts w:ascii="Times New Roman" w:eastAsia="Times New Roman" w:hAnsi="Times New Roman" w:cs="Times New Roman"/>
          <w:bCs/>
          <w:sz w:val="24"/>
          <w:szCs w:val="24"/>
          <w:lang w:val="ro-RO"/>
        </w:rPr>
        <w:t xml:space="preserve">proiectarea, </w:t>
      </w:r>
      <w:r w:rsidRPr="00870926">
        <w:rPr>
          <w:rFonts w:ascii="Times New Roman" w:eastAsia="Times New Roman" w:hAnsi="Times New Roman" w:cs="Times New Roman"/>
          <w:bCs/>
          <w:sz w:val="24"/>
          <w:szCs w:val="24"/>
          <w:lang w:val="ro-RO"/>
        </w:rPr>
        <w:t xml:space="preserve">execuţia şi finalizarea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 xml:space="preserve">ucrărilor şi remedierea oricăror eventuale defecţiuni ale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ucrărilor</w:t>
      </w:r>
      <w:r w:rsidR="000C6351" w:rsidRPr="00870926">
        <w:rPr>
          <w:rFonts w:ascii="Times New Roman" w:eastAsia="Times New Roman" w:hAnsi="Times New Roman" w:cs="Times New Roman"/>
          <w:bCs/>
          <w:sz w:val="24"/>
          <w:szCs w:val="24"/>
          <w:lang w:val="ro-RO"/>
        </w:rPr>
        <w:t>,</w:t>
      </w:r>
      <w:r w:rsidRPr="00870926">
        <w:rPr>
          <w:rFonts w:ascii="Times New Roman" w:eastAsia="Times New Roman" w:hAnsi="Times New Roman" w:cs="Times New Roman"/>
          <w:bCs/>
          <w:sz w:val="24"/>
          <w:szCs w:val="24"/>
          <w:lang w:val="ro-RO"/>
        </w:rPr>
        <w:t xml:space="preserve"> suma de</w:t>
      </w:r>
      <w:r w:rsidR="00FD215D">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 xml:space="preserve">: </w:t>
      </w:r>
      <w:r w:rsidR="00680928" w:rsidRPr="00870926">
        <w:rPr>
          <w:rFonts w:ascii="Times New Roman" w:eastAsia="Times New Roman" w:hAnsi="Times New Roman" w:cs="Times New Roman"/>
          <w:bCs/>
          <w:sz w:val="24"/>
          <w:szCs w:val="24"/>
          <w:lang w:val="ro-RO"/>
        </w:rPr>
        <w:t xml:space="preserve"> </w:t>
      </w:r>
      <w:r w:rsidR="00FD215D">
        <w:rPr>
          <w:rFonts w:ascii="Times New Roman" w:eastAsia="Times New Roman" w:hAnsi="Times New Roman" w:cs="Times New Roman"/>
          <w:bCs/>
          <w:sz w:val="24"/>
          <w:szCs w:val="24"/>
          <w:lang w:val="ro-RO"/>
        </w:rPr>
        <w:t xml:space="preserve">  </w:t>
      </w:r>
      <w:r w:rsidR="0086137C">
        <w:rPr>
          <w:rFonts w:ascii="Times New Roman" w:eastAsia="Times New Roman" w:hAnsi="Times New Roman" w:cs="Times New Roman"/>
          <w:b/>
          <w:color w:val="000000"/>
          <w:sz w:val="24"/>
          <w:szCs w:val="24"/>
        </w:rPr>
        <w:t>3.776.037,35</w:t>
      </w:r>
      <w:r w:rsidR="000C6351" w:rsidRPr="00870926">
        <w:rPr>
          <w:rFonts w:ascii="Times New Roman" w:eastAsia="Times New Roman" w:hAnsi="Times New Roman" w:cs="Times New Roman"/>
          <w:b/>
          <w:color w:val="000000"/>
          <w:sz w:val="24"/>
          <w:szCs w:val="24"/>
        </w:rPr>
        <w:t xml:space="preserve"> </w:t>
      </w:r>
      <w:r w:rsidR="00680928" w:rsidRPr="00870926">
        <w:rPr>
          <w:rFonts w:ascii="Times New Roman" w:eastAsia="Times New Roman" w:hAnsi="Times New Roman" w:cs="Times New Roman"/>
          <w:b/>
          <w:sz w:val="24"/>
          <w:szCs w:val="24"/>
          <w:lang w:val="ro-RO"/>
        </w:rPr>
        <w:t xml:space="preserve">lei </w:t>
      </w:r>
      <w:r w:rsidR="000C6351" w:rsidRPr="00870926">
        <w:rPr>
          <w:rFonts w:ascii="Times New Roman" w:eastAsia="Times New Roman" w:hAnsi="Times New Roman" w:cs="Times New Roman"/>
          <w:b/>
          <w:sz w:val="24"/>
          <w:szCs w:val="24"/>
          <w:lang w:val="ro-RO"/>
        </w:rPr>
        <w:t>exclu</w:t>
      </w:r>
      <w:r w:rsidR="00680928" w:rsidRPr="00870926">
        <w:rPr>
          <w:rFonts w:ascii="Times New Roman" w:eastAsia="Times New Roman" w:hAnsi="Times New Roman" w:cs="Times New Roman"/>
          <w:b/>
          <w:sz w:val="24"/>
          <w:szCs w:val="24"/>
          <w:lang w:val="ro-RO"/>
        </w:rPr>
        <w:t>siv TVA</w:t>
      </w:r>
      <w:r w:rsidR="00FD215D">
        <w:rPr>
          <w:rFonts w:ascii="Times New Roman" w:eastAsia="Times New Roman" w:hAnsi="Times New Roman" w:cs="Times New Roman"/>
          <w:b/>
          <w:sz w:val="24"/>
          <w:szCs w:val="24"/>
          <w:lang w:val="ro-RO"/>
        </w:rPr>
        <w:t xml:space="preserve"> </w:t>
      </w:r>
      <w:r w:rsidR="00870926">
        <w:rPr>
          <w:rFonts w:ascii="Times New Roman" w:eastAsia="Times New Roman" w:hAnsi="Times New Roman" w:cs="Times New Roman"/>
          <w:b/>
          <w:sz w:val="24"/>
          <w:szCs w:val="24"/>
          <w:lang w:val="ro-RO"/>
        </w:rPr>
        <w:t xml:space="preserve"> </w:t>
      </w:r>
      <w:r w:rsidR="00FD215D">
        <w:rPr>
          <w:rFonts w:ascii="Times New Roman" w:eastAsia="Times New Roman" w:hAnsi="Times New Roman" w:cs="Times New Roman"/>
          <w:b/>
          <w:sz w:val="24"/>
          <w:szCs w:val="24"/>
          <w:lang w:val="ro-RO"/>
        </w:rPr>
        <w:t>(</w:t>
      </w:r>
      <w:r w:rsidR="00870926" w:rsidRPr="00870926">
        <w:rPr>
          <w:rFonts w:ascii="Times New Roman" w:eastAsia="Times New Roman" w:hAnsi="Times New Roman" w:cs="Times New Roman"/>
          <w:bCs/>
          <w:sz w:val="24"/>
          <w:szCs w:val="24"/>
          <w:lang w:val="ro-RO"/>
        </w:rPr>
        <w:t>treimil</w:t>
      </w:r>
      <w:r w:rsidR="000C6351" w:rsidRPr="00870926">
        <w:rPr>
          <w:rFonts w:ascii="Times New Roman" w:eastAsia="Times New Roman" w:hAnsi="Times New Roman" w:cs="Times New Roman"/>
          <w:bCs/>
          <w:sz w:val="24"/>
          <w:szCs w:val="24"/>
          <w:lang w:val="ro-RO"/>
        </w:rPr>
        <w:t>ioane</w:t>
      </w:r>
      <w:r w:rsidR="00870926" w:rsidRPr="00870926">
        <w:rPr>
          <w:rFonts w:ascii="Times New Roman" w:eastAsia="Times New Roman" w:hAnsi="Times New Roman" w:cs="Times New Roman"/>
          <w:bCs/>
          <w:sz w:val="24"/>
          <w:szCs w:val="24"/>
          <w:lang w:val="ro-RO"/>
        </w:rPr>
        <w:t>optsutecincizecișipatrumiisaptesutedouazecisicincilei</w:t>
      </w:r>
      <w:r w:rsidR="00FD215D">
        <w:rPr>
          <w:rFonts w:ascii="Times New Roman" w:eastAsia="Times New Roman" w:hAnsi="Times New Roman" w:cs="Times New Roman"/>
          <w:bCs/>
          <w:sz w:val="24"/>
          <w:szCs w:val="24"/>
          <w:lang w:val="ro-RO"/>
        </w:rPr>
        <w:t xml:space="preserve"> </w:t>
      </w:r>
      <w:r w:rsidR="00870926" w:rsidRPr="00870926">
        <w:rPr>
          <w:rFonts w:ascii="Times New Roman" w:eastAsia="Times New Roman" w:hAnsi="Times New Roman" w:cs="Times New Roman"/>
          <w:bCs/>
          <w:sz w:val="24"/>
          <w:szCs w:val="24"/>
          <w:lang w:val="ro-RO"/>
        </w:rPr>
        <w:t>șioptzecisicincibani</w:t>
      </w:r>
      <w:r w:rsidR="000C6351" w:rsidRPr="00870926">
        <w:rPr>
          <w:rFonts w:ascii="Times New Roman" w:eastAsia="Times New Roman" w:hAnsi="Times New Roman" w:cs="Times New Roman"/>
          <w:bCs/>
          <w:sz w:val="24"/>
          <w:szCs w:val="24"/>
          <w:lang w:val="ro-RO"/>
        </w:rPr>
        <w:t>)</w:t>
      </w:r>
      <w:r w:rsidR="00680928" w:rsidRPr="00870926">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870926">
        <w:rPr>
          <w:rFonts w:ascii="Times New Roman" w:eastAsia="Times New Roman" w:hAnsi="Times New Roman" w:cs="Times New Roman"/>
          <w:bCs/>
          <w:sz w:val="24"/>
          <w:szCs w:val="24"/>
          <w:lang w:val="ro-RO"/>
        </w:rPr>
        <w:t xml:space="preserve"> și</w:t>
      </w:r>
      <w:r w:rsidR="000F5A84" w:rsidRPr="00870926">
        <w:rPr>
          <w:rFonts w:ascii="Times New Roman" w:eastAsia="Times New Roman" w:hAnsi="Times New Roman" w:cs="Times New Roman"/>
          <w:bCs/>
          <w:sz w:val="24"/>
          <w:szCs w:val="24"/>
          <w:lang w:val="ro-RO"/>
        </w:rPr>
        <w:t xml:space="preserve"> </w:t>
      </w:r>
      <w:r w:rsidR="00433742" w:rsidRPr="00870926">
        <w:rPr>
          <w:rFonts w:ascii="Times New Roman" w:eastAsia="Times New Roman" w:hAnsi="Times New Roman" w:cs="Times New Roman"/>
          <w:bCs/>
          <w:sz w:val="24"/>
          <w:szCs w:val="24"/>
          <w:lang w:val="ro-RO"/>
        </w:rPr>
        <w:t>cuprinde</w:t>
      </w:r>
      <w:r w:rsidR="00433742" w:rsidRPr="00870926">
        <w:rPr>
          <w:rFonts w:ascii="Times New Roman" w:eastAsia="Times New Roman" w:hAnsi="Times New Roman" w:cs="Times New Roman"/>
          <w:bCs/>
          <w:sz w:val="24"/>
          <w:szCs w:val="24"/>
          <w:lang w:val="en-GB"/>
        </w:rPr>
        <w:t>:</w:t>
      </w:r>
      <w:r w:rsidR="000F5A84" w:rsidRPr="00870926">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506E9681"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FE2939">
        <w:rPr>
          <w:rFonts w:ascii="Times New Roman" w:eastAsia="Times New Roman" w:hAnsi="Times New Roman" w:cs="Times New Roman"/>
          <w:color w:val="000000"/>
          <w:sz w:val="24"/>
          <w:szCs w:val="24"/>
          <w:lang w:val="ro-RO" w:eastAsia="ro-RO"/>
        </w:rPr>
        <w:t>99.291,00</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16D06B2A"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FE2939">
        <w:rPr>
          <w:rFonts w:ascii="Times New Roman" w:eastAsia="Times New Roman" w:hAnsi="Times New Roman" w:cs="Times New Roman"/>
          <w:sz w:val="24"/>
          <w:szCs w:val="24"/>
          <w:lang w:val="en-GB"/>
        </w:rPr>
        <w:t>3.676.746,35</w:t>
      </w:r>
      <w:r w:rsidR="00A4151C" w:rsidRPr="000C6351">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45CC0693"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FE2939">
        <w:rPr>
          <w:rFonts w:ascii="Times New Roman" w:eastAsia="Times New Roman" w:hAnsi="Times New Roman" w:cs="Times New Roman"/>
          <w:color w:val="000000"/>
          <w:sz w:val="24"/>
          <w:szCs w:val="24"/>
          <w:lang w:val="ro-RO" w:eastAsia="ro-RO"/>
        </w:rPr>
        <w:t>3.606.243,88</w:t>
      </w:r>
      <w:r w:rsidR="000F5A84" w:rsidRPr="000C6351">
        <w:rPr>
          <w:rFonts w:ascii="Times New Roman" w:eastAsia="Times New Roman" w:hAnsi="Times New Roman" w:cs="Times New Roman"/>
          <w:color w:val="000000"/>
          <w:sz w:val="24"/>
          <w:szCs w:val="24"/>
          <w:lang w:val="ro-RO" w:eastAsia="ro-RO"/>
        </w:rPr>
        <w:t>lei fără TVA</w:t>
      </w:r>
    </w:p>
    <w:p w14:paraId="00B81552" w14:textId="37E1BA16"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51.750,00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42C07DE3"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FE2939">
        <w:rPr>
          <w:rFonts w:ascii="Times New Roman" w:eastAsia="Times New Roman" w:hAnsi="Times New Roman" w:cs="Times New Roman"/>
          <w:color w:val="000000"/>
          <w:sz w:val="24"/>
          <w:szCs w:val="24"/>
          <w:lang w:val="ro-RO" w:eastAsia="ro-RO"/>
        </w:rPr>
        <w:t>18.752,47</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7023C935" w:rsidR="00077451" w:rsidRPr="000F5A84" w:rsidRDefault="00356251" w:rsidP="00E42DF5">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E42DF5">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sector</w:t>
            </w:r>
            <w:r w:rsidR="00E42DF5">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27EAE347" w:rsidR="00077451" w:rsidRPr="000F5A84" w:rsidRDefault="00356251" w:rsidP="00E42DF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46EC9202" w:rsidR="00077451" w:rsidRPr="00F27042" w:rsidRDefault="00F27042" w:rsidP="00F27042">
            <w:pPr>
              <w:pStyle w:val="ListParagraph"/>
              <w:jc w:val="both"/>
              <w:rPr>
                <w:b/>
                <w:bCs/>
                <w:sz w:val="24"/>
                <w:szCs w:val="24"/>
              </w:rPr>
            </w:pPr>
            <w:r w:rsidRPr="00F27042">
              <w:rPr>
                <w:b/>
                <w:bCs/>
                <w:sz w:val="24"/>
                <w:szCs w:val="24"/>
              </w:rPr>
              <w:t>1</w:t>
            </w:r>
            <w:r w:rsidR="00FD215D">
              <w:rPr>
                <w:b/>
                <w:bCs/>
                <w:sz w:val="24"/>
                <w:szCs w:val="24"/>
              </w:rPr>
              <w:t>9</w:t>
            </w:r>
            <w:r w:rsidRPr="00F27042">
              <w:rPr>
                <w:b/>
                <w:bCs/>
                <w:sz w:val="24"/>
                <w:szCs w:val="24"/>
              </w:rPr>
              <w:t>3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209F325D" w:rsidR="00077451" w:rsidRPr="00A4151C" w:rsidRDefault="00F27042" w:rsidP="00DB2030">
            <w:pPr>
              <w:pStyle w:val="ListParagraph"/>
              <w:spacing w:after="120" w:line="300" w:lineRule="exact"/>
              <w:jc w:val="both"/>
              <w:rPr>
                <w:rFonts w:ascii="Times New Roman" w:eastAsia="Times New Roman" w:hAnsi="Times New Roman" w:cs="Times New Roman"/>
                <w:bCs/>
                <w:lang w:val="ro-RO"/>
              </w:rPr>
            </w:pPr>
            <w:r w:rsidRPr="00F27042">
              <w:rPr>
                <w:rFonts w:ascii="Times New Roman" w:eastAsia="Times New Roman" w:hAnsi="Times New Roman" w:cs="Times New Roman"/>
                <w:b/>
                <w:sz w:val="24"/>
                <w:szCs w:val="24"/>
                <w:lang w:val="ro-RO"/>
              </w:rPr>
              <w:t xml:space="preserve">Grădinița </w:t>
            </w:r>
            <w:r w:rsidR="00FD215D">
              <w:rPr>
                <w:rFonts w:ascii="Times New Roman" w:eastAsia="Times New Roman" w:hAnsi="Times New Roman" w:cs="Times New Roman"/>
                <w:b/>
                <w:sz w:val="24"/>
                <w:szCs w:val="24"/>
                <w:lang w:val="ro-RO"/>
              </w:rPr>
              <w:t>nr.133</w:t>
            </w:r>
            <w:r w:rsidRPr="00F27042">
              <w:rPr>
                <w:rFonts w:ascii="Times New Roman" w:eastAsia="Times New Roman" w:hAnsi="Times New Roman" w:cs="Times New Roman"/>
                <w:b/>
                <w:sz w:val="24"/>
                <w:szCs w:val="24"/>
                <w:lang w:val="ro-RO"/>
              </w:rPr>
              <w:t>– Consolidare-Reabilitare</w:t>
            </w:r>
            <w:r>
              <w:rPr>
                <w:rFonts w:ascii="Times New Roman" w:eastAsia="Times New Roman" w:hAnsi="Times New Roman" w:cs="Times New Roman"/>
                <w:b/>
                <w:sz w:val="24"/>
                <w:szCs w:val="24"/>
                <w:lang w:val="ro-RO"/>
              </w:rPr>
              <w:t xml:space="preserve">, Str. </w:t>
            </w:r>
            <w:r w:rsidR="00FE2939">
              <w:rPr>
                <w:rFonts w:ascii="Times New Roman" w:eastAsia="Times New Roman" w:hAnsi="Times New Roman" w:cs="Times New Roman"/>
                <w:b/>
                <w:sz w:val="24"/>
                <w:szCs w:val="24"/>
                <w:lang w:val="ro-RO"/>
              </w:rPr>
              <w:t>Aurel Vlaicu</w:t>
            </w:r>
            <w:r>
              <w:rPr>
                <w:rFonts w:ascii="Times New Roman" w:eastAsia="Times New Roman" w:hAnsi="Times New Roman" w:cs="Times New Roman"/>
                <w:b/>
                <w:sz w:val="24"/>
                <w:szCs w:val="24"/>
                <w:lang w:val="ro-RO"/>
              </w:rPr>
              <w:t>, nr.</w:t>
            </w:r>
            <w:r w:rsidR="00FE2939">
              <w:rPr>
                <w:rFonts w:ascii="Times New Roman" w:eastAsia="Times New Roman" w:hAnsi="Times New Roman" w:cs="Times New Roman"/>
                <w:b/>
                <w:sz w:val="24"/>
                <w:szCs w:val="24"/>
                <w:lang w:val="ro-RO"/>
              </w:rPr>
              <w:t>30-32</w:t>
            </w:r>
            <w:r>
              <w:rPr>
                <w:rFonts w:ascii="Times New Roman" w:eastAsia="Times New Roman" w:hAnsi="Times New Roman" w:cs="Times New Roman"/>
                <w:b/>
                <w:sz w:val="24"/>
                <w:szCs w:val="24"/>
                <w:lang w:val="ro-RO"/>
              </w:rPr>
              <w:t>,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Numele și adresa </w:t>
            </w:r>
            <w:r w:rsidRPr="000F5A84">
              <w:rPr>
                <w:rFonts w:ascii="Times New Roman" w:eastAsia="Times New Roman" w:hAnsi="Times New Roman" w:cs="Times New Roman"/>
                <w:bCs/>
                <w:sz w:val="24"/>
                <w:szCs w:val="24"/>
                <w:lang w:val="ro-RO"/>
              </w:rPr>
              <w:lastRenderedPageBreak/>
              <w:t>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 xml:space="preserve">Urmează a se completa prin act adițional </w:t>
            </w:r>
            <w:r w:rsidRPr="000F5A84">
              <w:rPr>
                <w:rFonts w:ascii="Times New Roman" w:eastAsia="Times New Roman" w:hAnsi="Times New Roman" w:cs="Times New Roman"/>
                <w:bCs/>
                <w:i/>
                <w:sz w:val="24"/>
                <w:szCs w:val="24"/>
                <w:lang w:val="ro-RO"/>
              </w:rPr>
              <w:lastRenderedPageBreak/>
              <w:t>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62FA8115"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r w:rsidRPr="000F5A84">
              <w:rPr>
                <w:rFonts w:ascii="Times New Roman" w:eastAsia="Times New Roman" w:hAnsi="Times New Roman" w:cs="Times New Roman"/>
                <w:bCs/>
                <w:sz w:val="24"/>
                <w:szCs w:val="24"/>
                <w:lang w:val="ro-RO"/>
              </w:rPr>
              <w:t xml:space="preserve">, </w:t>
            </w:r>
            <w:r w:rsidR="007C17C6" w:rsidRPr="000F5A84">
              <w:rPr>
                <w:rFonts w:ascii="Times New Roman" w:eastAsia="Times New Roman" w:hAnsi="Times New Roman" w:cs="Times New Roman"/>
                <w:bCs/>
                <w:sz w:val="24"/>
                <w:szCs w:val="24"/>
                <w:lang w:val="ro-RO"/>
              </w:rPr>
              <w:t xml:space="preserve"> </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din Prețul Contractului la semnarea </w:t>
            </w:r>
            <w:r w:rsidRPr="000F5A84">
              <w:rPr>
                <w:rFonts w:ascii="Times New Roman" w:eastAsia="Times New Roman" w:hAnsi="Times New Roman" w:cs="Times New Roman"/>
                <w:bCs/>
                <w:sz w:val="24"/>
                <w:szCs w:val="24"/>
                <w:lang w:val="ro-RO"/>
              </w:rPr>
              <w:lastRenderedPageBreak/>
              <w:t>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w:t>
            </w:r>
            <w:r w:rsidRPr="000F5A84">
              <w:rPr>
                <w:rFonts w:ascii="Times New Roman" w:eastAsia="Times New Roman" w:hAnsi="Times New Roman" w:cs="Times New Roman"/>
                <w:bCs/>
                <w:sz w:val="24"/>
                <w:szCs w:val="24"/>
                <w:lang w:val="ro-RO"/>
              </w:rPr>
              <w:lastRenderedPageBreak/>
              <w:t>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19A165CD" w14:textId="268FDDEF"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F27042">
        <w:rPr>
          <w:rFonts w:ascii="Times New Roman" w:eastAsia="Times New Roman" w:hAnsi="Times New Roman" w:cs="Times New Roman"/>
          <w:b/>
          <w:bCs/>
          <w:lang w:val="ro-RO"/>
        </w:rPr>
        <w:t>4</w:t>
      </w:r>
      <w:r w:rsidR="0086137C">
        <w:rPr>
          <w:rFonts w:ascii="Times New Roman" w:eastAsia="Times New Roman" w:hAnsi="Times New Roman" w:cs="Times New Roman"/>
          <w:b/>
          <w:bCs/>
          <w:lang w:val="ro-RO"/>
        </w:rPr>
        <w:t>9</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791DD95B" w:rsidR="00117D62" w:rsidRPr="00236BA3" w:rsidRDefault="00117D62" w:rsidP="00553045">
      <w:pPr>
        <w:rPr>
          <w:rFonts w:cs="Times New Roman"/>
          <w:b/>
          <w:sz w:val="18"/>
          <w:szCs w:val="18"/>
          <w:lang w:val="ro-RO"/>
        </w:rPr>
      </w:pPr>
      <w:bookmarkStart w:id="4" w:name="_GoBack"/>
      <w:bookmarkEnd w:id="4"/>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2CDA5" w14:textId="77777777" w:rsidR="00A9436B" w:rsidRDefault="00A9436B">
      <w:r>
        <w:separator/>
      </w:r>
    </w:p>
  </w:endnote>
  <w:endnote w:type="continuationSeparator" w:id="0">
    <w:p w14:paraId="29154DA5" w14:textId="77777777" w:rsidR="00A9436B" w:rsidRDefault="00A9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BCEC9" w14:textId="77777777" w:rsidR="00BC6AEE" w:rsidRDefault="00BC6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1650B600"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AAB0" w14:textId="77777777" w:rsidR="00BC6AEE" w:rsidRDefault="00BC6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A174B" w14:textId="77777777" w:rsidR="00A9436B" w:rsidRDefault="00A9436B">
      <w:r>
        <w:separator/>
      </w:r>
    </w:p>
  </w:footnote>
  <w:footnote w:type="continuationSeparator" w:id="0">
    <w:p w14:paraId="598F55D5" w14:textId="77777777" w:rsidR="00A9436B" w:rsidRDefault="00A94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248BE" w14:textId="77777777" w:rsidR="00BC6AEE" w:rsidRDefault="00BC6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3EDB" w14:textId="77777777" w:rsidR="00BC6AEE" w:rsidRDefault="00BC6A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D455B" w14:textId="77777777" w:rsidR="00BC6AEE" w:rsidRDefault="00BC6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213EF1"/>
    <w:rsid w:val="00214B46"/>
    <w:rsid w:val="002217E6"/>
    <w:rsid w:val="00236BA3"/>
    <w:rsid w:val="00245B9C"/>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0D21"/>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C96"/>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137C"/>
    <w:rsid w:val="00862AB1"/>
    <w:rsid w:val="00870926"/>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0269"/>
    <w:rsid w:val="009D7057"/>
    <w:rsid w:val="009E7BBC"/>
    <w:rsid w:val="009F35C2"/>
    <w:rsid w:val="00A005D2"/>
    <w:rsid w:val="00A240AB"/>
    <w:rsid w:val="00A32D63"/>
    <w:rsid w:val="00A334C3"/>
    <w:rsid w:val="00A400DA"/>
    <w:rsid w:val="00A4151C"/>
    <w:rsid w:val="00A4322E"/>
    <w:rsid w:val="00A44DFA"/>
    <w:rsid w:val="00A553B8"/>
    <w:rsid w:val="00A65816"/>
    <w:rsid w:val="00A9436B"/>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C6AEE"/>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2DF5"/>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21EC"/>
    <w:rsid w:val="00F07A55"/>
    <w:rsid w:val="00F1001D"/>
    <w:rsid w:val="00F11DD3"/>
    <w:rsid w:val="00F12109"/>
    <w:rsid w:val="00F233E4"/>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D215D"/>
    <w:rsid w:val="00FE2939"/>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B9F4-FFBB-4F0E-976C-777D8A98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42980</Words>
  <Characters>249284</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2021-05-24T13:03:00Z</dcterms:created>
  <dcterms:modified xsi:type="dcterms:W3CDTF">2021-05-24T13:03:00Z</dcterms:modified>
</cp:coreProperties>
</file>