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3F9085C3"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802596">
        <w:rPr>
          <w:rFonts w:ascii="Times New Roman" w:hAnsi="Times New Roman"/>
          <w:bCs/>
          <w:color w:val="000000"/>
          <w:sz w:val="23"/>
          <w:szCs w:val="23"/>
        </w:rPr>
        <w:t>5</w:t>
      </w:r>
      <w:r w:rsidRPr="0090016A">
        <w:rPr>
          <w:rFonts w:ascii="Times New Roman" w:hAnsi="Times New Roman"/>
          <w:b/>
          <w:color w:val="000000"/>
          <w:sz w:val="23"/>
          <w:szCs w:val="23"/>
        </w:rPr>
        <w:t xml:space="preserve">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802596">
        <w:rPr>
          <w:rFonts w:ascii="Times New Roman" w:hAnsi="Times New Roman"/>
          <w:bCs/>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62AD2F9B"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r w:rsidR="00231D83">
        <w:rPr>
          <w:rStyle w:val="Hyperlink"/>
          <w:rFonts w:ascii="Times New Roman" w:hAnsi="Times New Roman"/>
          <w:color w:val="auto"/>
          <w:sz w:val="23"/>
          <w:szCs w:val="23"/>
        </w:rPr>
        <w:fldChar w:fldCharType="begin"/>
      </w:r>
      <w:r w:rsidR="00231D83">
        <w:rPr>
          <w:rStyle w:val="Hyperlink"/>
          <w:rFonts w:ascii="Times New Roman" w:hAnsi="Times New Roman"/>
          <w:color w:val="auto"/>
          <w:sz w:val="23"/>
          <w:szCs w:val="23"/>
        </w:rPr>
        <w:instrText xml:space="preserve"> HYPERLINK "mailto:office@dgapi.ro" </w:instrText>
      </w:r>
      <w:r w:rsidR="00231D83">
        <w:rPr>
          <w:rStyle w:val="Hyperlink"/>
          <w:rFonts w:ascii="Times New Roman" w:hAnsi="Times New Roman"/>
          <w:color w:val="auto"/>
          <w:sz w:val="23"/>
          <w:szCs w:val="23"/>
        </w:rPr>
        <w:fldChar w:fldCharType="separate"/>
      </w:r>
      <w:r w:rsidR="00527D6F" w:rsidRPr="0090016A">
        <w:rPr>
          <w:rStyle w:val="Hyperlink"/>
          <w:rFonts w:ascii="Times New Roman" w:hAnsi="Times New Roman"/>
          <w:color w:val="auto"/>
          <w:sz w:val="23"/>
          <w:szCs w:val="23"/>
        </w:rPr>
        <w:t>office@dgapi.ro</w:t>
      </w:r>
      <w:r w:rsidR="00231D83">
        <w:rPr>
          <w:rStyle w:val="Hyperlink"/>
          <w:rFonts w:ascii="Times New Roman" w:hAnsi="Times New Roman"/>
          <w:color w:val="auto"/>
          <w:sz w:val="23"/>
          <w:szCs w:val="23"/>
        </w:rPr>
        <w:fldChar w:fldCharType="end"/>
      </w:r>
      <w:r w:rsidR="00527D6F" w:rsidRPr="0090016A">
        <w:rPr>
          <w:rFonts w:ascii="Times New Roman" w:hAnsi="Times New Roman"/>
          <w:color w:val="000000"/>
          <w:sz w:val="23"/>
          <w:szCs w:val="23"/>
        </w:rPr>
        <w:t>, cod fiscal:</w:t>
      </w:r>
      <w:r w:rsidR="00EC7170">
        <w:rPr>
          <w:rFonts w:ascii="Times New Roman" w:hAnsi="Times New Roman"/>
          <w:color w:val="000000"/>
          <w:sz w:val="23"/>
          <w:szCs w:val="23"/>
        </w:rPr>
        <w:t>.........</w:t>
      </w:r>
      <w:r w:rsidR="00527D6F" w:rsidRPr="0090016A">
        <w:rPr>
          <w:rFonts w:ascii="Times New Roman" w:hAnsi="Times New Roman"/>
          <w:color w:val="000000"/>
          <w:sz w:val="23"/>
          <w:szCs w:val="23"/>
        </w:rPr>
        <w:t>, cont nr.</w:t>
      </w:r>
      <w:r w:rsidR="00802596">
        <w:rPr>
          <w:rFonts w:ascii="Times New Roman" w:eastAsia="Times New Roman" w:hAnsi="Times New Roman"/>
          <w:sz w:val="23"/>
          <w:szCs w:val="23"/>
          <w:lang w:eastAsia="ro-RO"/>
        </w:rPr>
        <w:t xml:space="preserve"> RO09TREZ24A51010XXXXXX</w:t>
      </w:r>
      <w:r w:rsidR="006C509D" w:rsidRPr="0090016A">
        <w:rPr>
          <w:rFonts w:ascii="Times New Roman" w:eastAsia="Times New Roman" w:hAnsi="Times New Roman"/>
          <w:sz w:val="23"/>
          <w:szCs w:val="23"/>
          <w:lang w:eastAsia="ro-RO"/>
        </w:rPr>
        <w:t>X</w:t>
      </w:r>
      <w:r w:rsidR="00EC7170">
        <w:rPr>
          <w:rFonts w:ascii="Times New Roman" w:hAnsi="Times New Roman"/>
          <w:color w:val="000000"/>
          <w:sz w:val="23"/>
          <w:szCs w:val="23"/>
        </w:rPr>
        <w:t>, deschis la Trezoreria Sector ....</w:t>
      </w:r>
      <w:bookmarkStart w:id="0" w:name="_GoBack"/>
      <w:bookmarkEnd w:id="0"/>
      <w:r w:rsidR="00527D6F" w:rsidRPr="0090016A">
        <w:rPr>
          <w:rFonts w:ascii="Times New Roman" w:hAnsi="Times New Roman"/>
          <w:color w:val="000000"/>
          <w:sz w:val="23"/>
          <w:szCs w:val="23"/>
        </w:rPr>
        <w:t>,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71D27640"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2A6BF7">
        <w:rPr>
          <w:rFonts w:eastAsia="Calibri"/>
          <w:noProof w:val="0"/>
          <w:color w:val="000000"/>
          <w:sz w:val="23"/>
          <w:szCs w:val="23"/>
          <w:lang w:val="ro-RO"/>
        </w:rPr>
        <w:t xml:space="preserve"> </w:t>
      </w:r>
      <w:r w:rsidR="002A6BF7">
        <w:rPr>
          <w:color w:val="000000"/>
          <w:sz w:val="23"/>
          <w:szCs w:val="23"/>
          <w:lang w:val="ro-RO"/>
        </w:rPr>
        <w:t>Str......</w:t>
      </w:r>
      <w:r w:rsidR="008D483F" w:rsidRPr="0090016A">
        <w:rPr>
          <w:color w:val="000000"/>
          <w:sz w:val="23"/>
          <w:szCs w:val="23"/>
          <w:lang w:val="ro-RO"/>
        </w:rPr>
        <w:t>,</w:t>
      </w:r>
      <w:r w:rsidR="008958F4" w:rsidRPr="0090016A">
        <w:rPr>
          <w:color w:val="000000"/>
          <w:sz w:val="23"/>
          <w:szCs w:val="23"/>
          <w:lang w:val="ro-RO"/>
        </w:rPr>
        <w:t xml:space="preserve"> nr.</w:t>
      </w:r>
      <w:r w:rsidR="002A6BF7">
        <w:rPr>
          <w:color w:val="000000"/>
          <w:sz w:val="23"/>
          <w:szCs w:val="23"/>
          <w:lang w:val="ro-RO"/>
        </w:rPr>
        <w:t xml:space="preserve"> .....</w:t>
      </w:r>
      <w:r w:rsidR="008958F4" w:rsidRPr="0090016A">
        <w:rPr>
          <w:color w:val="000000"/>
          <w:sz w:val="23"/>
          <w:szCs w:val="23"/>
          <w:lang w:val="ro-RO"/>
        </w:rPr>
        <w:t xml:space="preserve">, </w:t>
      </w:r>
      <w:r w:rsidR="002A6BF7">
        <w:rPr>
          <w:color w:val="000000"/>
          <w:sz w:val="23"/>
          <w:szCs w:val="23"/>
          <w:lang w:val="ro-RO"/>
        </w:rPr>
        <w:t>Camera....., Bloc ....., etaj ..., Ap. ....., Sector .....</w:t>
      </w:r>
      <w:r w:rsidR="00235894" w:rsidRPr="0090016A">
        <w:rPr>
          <w:color w:val="000000"/>
          <w:sz w:val="23"/>
          <w:szCs w:val="23"/>
          <w:lang w:val="ro-RO"/>
        </w:rPr>
        <w:t xml:space="preserve">, </w:t>
      </w:r>
      <w:r w:rsidR="002A6BF7">
        <w:rPr>
          <w:color w:val="000000"/>
          <w:sz w:val="23"/>
          <w:szCs w:val="23"/>
          <w:lang w:val="ro-RO"/>
        </w:rPr>
        <w:t>Localitate.......</w:t>
      </w:r>
      <w:r w:rsidR="006C509D" w:rsidRPr="0090016A">
        <w:rPr>
          <w:color w:val="000000"/>
          <w:sz w:val="23"/>
          <w:szCs w:val="23"/>
          <w:lang w:val="ro-RO"/>
        </w:rPr>
        <w:t>Telefon</w:t>
      </w:r>
      <w:r w:rsidR="002A6BF7">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2A6BF7">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2A6BF7">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2A6BF7">
        <w:rPr>
          <w:rFonts w:eastAsia="Calibri"/>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2A6BF7">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4CFAE3B7"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0C58FE">
        <w:rPr>
          <w:rFonts w:ascii="Times New Roman" w:hAnsi="Times New Roman"/>
          <w:sz w:val="23"/>
          <w:szCs w:val="23"/>
        </w:rPr>
        <w:t xml:space="preserve"> Str. .........</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0C58FE">
        <w:rPr>
          <w:rFonts w:ascii="Times New Roman" w:hAnsi="Times New Roman"/>
          <w:sz w:val="23"/>
          <w:szCs w:val="23"/>
        </w:rPr>
        <w:t xml:space="preserve"> ..... </w:t>
      </w:r>
      <w:r w:rsidRPr="0090016A">
        <w:rPr>
          <w:rFonts w:ascii="Times New Roman" w:hAnsi="Times New Roman"/>
          <w:sz w:val="23"/>
          <w:szCs w:val="23"/>
        </w:rPr>
        <w:t>,</w:t>
      </w:r>
      <w:r w:rsidR="0023178E" w:rsidRPr="0090016A">
        <w:rPr>
          <w:rFonts w:ascii="Times New Roman" w:hAnsi="Times New Roman"/>
          <w:sz w:val="23"/>
          <w:szCs w:val="23"/>
        </w:rPr>
        <w:t xml:space="preserve"> </w:t>
      </w:r>
      <w:r w:rsidR="000C58FE">
        <w:rPr>
          <w:rFonts w:ascii="Times New Roman" w:hAnsi="Times New Roman"/>
          <w:sz w:val="23"/>
          <w:szCs w:val="23"/>
        </w:rPr>
        <w:t>Et. ...</w:t>
      </w:r>
      <w:r w:rsidR="008A4DB3" w:rsidRPr="0090016A">
        <w:rPr>
          <w:rFonts w:ascii="Times New Roman" w:hAnsi="Times New Roman"/>
          <w:sz w:val="23"/>
          <w:szCs w:val="23"/>
        </w:rPr>
        <w:t xml:space="preserve">, </w:t>
      </w:r>
      <w:r w:rsidR="000C58FE">
        <w:rPr>
          <w:rFonts w:ascii="Times New Roman" w:hAnsi="Times New Roman"/>
          <w:sz w:val="23"/>
          <w:szCs w:val="23"/>
        </w:rPr>
        <w:t>Localitatea .........</w:t>
      </w:r>
      <w:r w:rsidRPr="0090016A">
        <w:rPr>
          <w:rFonts w:ascii="Times New Roman" w:hAnsi="Times New Roman"/>
          <w:sz w:val="23"/>
          <w:szCs w:val="23"/>
        </w:rPr>
        <w:t xml:space="preserve">, </w:t>
      </w:r>
      <w:r w:rsidR="000C58FE">
        <w:rPr>
          <w:rFonts w:ascii="Times New Roman" w:hAnsi="Times New Roman"/>
          <w:sz w:val="23"/>
          <w:szCs w:val="23"/>
        </w:rPr>
        <w:t>Jud. ........</w:t>
      </w:r>
      <w:r w:rsidR="0023178E" w:rsidRPr="0090016A">
        <w:rPr>
          <w:rFonts w:ascii="Times New Roman" w:hAnsi="Times New Roman"/>
          <w:sz w:val="23"/>
          <w:szCs w:val="23"/>
        </w:rPr>
        <w:t>,</w:t>
      </w:r>
      <w:r w:rsidR="000C58FE">
        <w:rPr>
          <w:rFonts w:ascii="Times New Roman" w:hAnsi="Times New Roman"/>
          <w:sz w:val="23"/>
          <w:szCs w:val="23"/>
        </w:rPr>
        <w:t>Telefon:.......</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0C58FE">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 xml:space="preserve">: </w:t>
      </w:r>
      <w:r w:rsidRPr="0090016A">
        <w:rPr>
          <w:rFonts w:ascii="Times New Roman" w:hAnsi="Times New Roman"/>
          <w:b/>
          <w:sz w:val="23"/>
          <w:szCs w:val="23"/>
        </w:rPr>
        <w:t xml:space="preserve"> </w:t>
      </w:r>
      <w:r w:rsidR="000C58FE">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w:t>
      </w:r>
      <w:r w:rsidR="000C58FE">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24A191D0"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proofErr w:type="spellStart"/>
      <w:r w:rsidR="009B0BBB">
        <w:rPr>
          <w:rFonts w:ascii="Times New Roman" w:eastAsia="Times New Roman" w:hAnsi="Times New Roman"/>
          <w:b/>
          <w:bCs/>
          <w:lang w:val="es-ES" w:eastAsia="el-GR"/>
        </w:rPr>
        <w:t>Şcoala</w:t>
      </w:r>
      <w:proofErr w:type="spellEnd"/>
      <w:r w:rsidR="009B0BBB">
        <w:rPr>
          <w:rFonts w:ascii="Times New Roman" w:eastAsia="Times New Roman" w:hAnsi="Times New Roman"/>
          <w:b/>
          <w:bCs/>
          <w:lang w:val="es-ES" w:eastAsia="el-GR"/>
        </w:rPr>
        <w:t xml:space="preserve"> </w:t>
      </w:r>
      <w:proofErr w:type="spellStart"/>
      <w:r w:rsidR="009B0BBB">
        <w:rPr>
          <w:rFonts w:ascii="Times New Roman" w:eastAsia="Times New Roman" w:hAnsi="Times New Roman"/>
          <w:b/>
          <w:bCs/>
          <w:lang w:val="es-ES" w:eastAsia="el-GR"/>
        </w:rPr>
        <w:t>Gimnazială</w:t>
      </w:r>
      <w:proofErr w:type="spellEnd"/>
      <w:r w:rsidR="009B0BBB">
        <w:rPr>
          <w:rFonts w:ascii="Times New Roman" w:eastAsia="Times New Roman" w:hAnsi="Times New Roman"/>
          <w:b/>
          <w:bCs/>
          <w:lang w:val="es-ES" w:eastAsia="el-GR"/>
        </w:rPr>
        <w:t xml:space="preserve"> </w:t>
      </w:r>
      <w:proofErr w:type="spellStart"/>
      <w:r w:rsidR="009B0BBB">
        <w:rPr>
          <w:rFonts w:ascii="Times New Roman" w:eastAsia="Times New Roman" w:hAnsi="Times New Roman"/>
          <w:b/>
          <w:bCs/>
          <w:lang w:val="es-ES" w:eastAsia="el-GR"/>
        </w:rPr>
        <w:t>Iancului</w:t>
      </w:r>
      <w:proofErr w:type="spellEnd"/>
      <w:r w:rsidR="001A32F0">
        <w:rPr>
          <w:rFonts w:ascii="Times New Roman" w:eastAsia="Times New Roman" w:hAnsi="Times New Roman"/>
          <w:b/>
          <w:bCs/>
          <w:lang w:val="es-ES" w:eastAsia="el-GR"/>
        </w:rPr>
        <w:t xml:space="preserve">, </w:t>
      </w:r>
      <w:proofErr w:type="spellStart"/>
      <w:r w:rsidR="009B0BBB">
        <w:rPr>
          <w:rFonts w:ascii="Times New Roman" w:eastAsia="Times New Roman" w:hAnsi="Times New Roman"/>
          <w:b/>
          <w:bCs/>
          <w:lang w:val="es-ES" w:eastAsia="el-GR"/>
        </w:rPr>
        <w:t>Bd</w:t>
      </w:r>
      <w:proofErr w:type="spellEnd"/>
      <w:r w:rsidR="009B0BBB">
        <w:rPr>
          <w:rFonts w:ascii="Times New Roman" w:eastAsia="Times New Roman" w:hAnsi="Times New Roman"/>
          <w:b/>
          <w:bCs/>
          <w:lang w:val="es-ES" w:eastAsia="el-GR"/>
        </w:rPr>
        <w:t xml:space="preserve">. </w:t>
      </w:r>
      <w:proofErr w:type="spellStart"/>
      <w:r w:rsidR="009B0BBB">
        <w:rPr>
          <w:rFonts w:ascii="Times New Roman" w:eastAsia="Times New Roman" w:hAnsi="Times New Roman"/>
          <w:b/>
          <w:bCs/>
          <w:lang w:val="es-ES" w:eastAsia="el-GR"/>
        </w:rPr>
        <w:t>Protopopescu</w:t>
      </w:r>
      <w:proofErr w:type="spellEnd"/>
      <w:r w:rsidR="009B0BBB">
        <w:rPr>
          <w:rFonts w:ascii="Times New Roman" w:eastAsia="Times New Roman" w:hAnsi="Times New Roman"/>
          <w:b/>
          <w:bCs/>
          <w:lang w:val="es-ES" w:eastAsia="el-GR"/>
        </w:rPr>
        <w:t xml:space="preserve">,  </w:t>
      </w:r>
      <w:proofErr w:type="spellStart"/>
      <w:r w:rsidR="009B0BBB">
        <w:rPr>
          <w:rFonts w:ascii="Times New Roman" w:eastAsia="Times New Roman" w:hAnsi="Times New Roman"/>
          <w:b/>
          <w:bCs/>
          <w:lang w:val="es-ES" w:eastAsia="el-GR"/>
        </w:rPr>
        <w:t>nr</w:t>
      </w:r>
      <w:proofErr w:type="spellEnd"/>
      <w:r w:rsidR="009B0BBB">
        <w:rPr>
          <w:rFonts w:ascii="Times New Roman" w:eastAsia="Times New Roman" w:hAnsi="Times New Roman"/>
          <w:b/>
          <w:bCs/>
          <w:lang w:val="es-ES" w:eastAsia="el-GR"/>
        </w:rPr>
        <w:t>. 50</w:t>
      </w:r>
      <w:r w:rsidR="001A32F0" w:rsidRPr="001A32F0">
        <w:rPr>
          <w:rFonts w:ascii="Times New Roman" w:eastAsia="Times New Roman" w:hAnsi="Times New Roman"/>
          <w:b/>
          <w:bCs/>
          <w:lang w:val="es-ES" w:eastAsia="el-GR"/>
        </w:rPr>
        <w:t xml:space="preserve">, </w:t>
      </w:r>
      <w:r w:rsidR="009B0BBB">
        <w:rPr>
          <w:rFonts w:ascii="Times New Roman" w:eastAsia="Times New Roman" w:hAnsi="Times New Roman"/>
          <w:b/>
          <w:bCs/>
          <w:lang w:val="es-ES" w:eastAsia="el-GR"/>
        </w:rPr>
        <w:t xml:space="preserve"> </w:t>
      </w:r>
      <w:r w:rsidR="001A32F0" w:rsidRPr="001A32F0">
        <w:rPr>
          <w:rFonts w:ascii="Times New Roman" w:eastAsia="Times New Roman" w:hAnsi="Times New Roman"/>
          <w:b/>
          <w:bCs/>
          <w:lang w:val="es-ES" w:eastAsia="el-GR"/>
        </w:rPr>
        <w:t xml:space="preserve">sector 2, </w:t>
      </w:r>
      <w:proofErr w:type="spellStart"/>
      <w:r w:rsidR="001A32F0" w:rsidRPr="001A32F0">
        <w:rPr>
          <w:rFonts w:ascii="Times New Roman" w:eastAsia="Times New Roman" w:hAnsi="Times New Roman"/>
          <w:b/>
          <w:bCs/>
          <w:lang w:val="es-ES" w:eastAsia="el-GR"/>
        </w:rPr>
        <w:t>București</w:t>
      </w:r>
      <w:proofErr w:type="spellEnd"/>
      <w:r w:rsidR="003809E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5DBEEB33"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304754">
        <w:rPr>
          <w:rFonts w:ascii="Times New Roman" w:hAnsi="Times New Roman"/>
          <w:b/>
          <w:color w:val="000000"/>
          <w:sz w:val="23"/>
          <w:szCs w:val="23"/>
        </w:rPr>
        <w:t>15.840,38</w:t>
      </w:r>
      <w:r w:rsidR="006D115C" w:rsidRPr="0090016A">
        <w:rPr>
          <w:rFonts w:ascii="Times New Roman" w:hAnsi="Times New Roman"/>
          <w:b/>
          <w:color w:val="000000"/>
          <w:sz w:val="23"/>
          <w:szCs w:val="23"/>
        </w:rPr>
        <w:t xml:space="preserve">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304754">
        <w:rPr>
          <w:rFonts w:ascii="Times New Roman" w:hAnsi="Times New Roman"/>
          <w:b/>
          <w:bCs/>
          <w:color w:val="000000"/>
          <w:sz w:val="23"/>
          <w:szCs w:val="23"/>
        </w:rPr>
        <w:t>3009,67</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304754">
        <w:rPr>
          <w:rFonts w:ascii="Times New Roman" w:hAnsi="Times New Roman"/>
          <w:b/>
          <w:bCs/>
          <w:color w:val="000000"/>
          <w:sz w:val="23"/>
          <w:szCs w:val="23"/>
        </w:rPr>
        <w:t>18.850,05</w:t>
      </w:r>
      <w:r w:rsidR="00643B6A" w:rsidRPr="0090016A">
        <w:rPr>
          <w:rFonts w:ascii="Times New Roman" w:hAnsi="Times New Roman"/>
          <w:b/>
          <w:bCs/>
          <w:color w:val="000000"/>
          <w:sz w:val="23"/>
          <w:szCs w:val="23"/>
        </w:rPr>
        <w:t xml:space="preserve"> lei 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639FC309" w:rsidR="00D05DAD" w:rsidRPr="0090016A" w:rsidRDefault="0030475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597,75</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5525D810" w:rsidR="00D05DAD" w:rsidRPr="0090016A" w:rsidRDefault="0030475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298,875</w:t>
            </w:r>
          </w:p>
        </w:tc>
        <w:tc>
          <w:tcPr>
            <w:tcW w:w="1854" w:type="dxa"/>
            <w:shd w:val="clear" w:color="auto" w:fill="auto"/>
          </w:tcPr>
          <w:p w14:paraId="1CF955EF" w14:textId="4AB0E7E6" w:rsidR="00D05DAD" w:rsidRPr="0090016A" w:rsidRDefault="0030475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355,66</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50E45C55" w:rsidR="008536FC" w:rsidRPr="0090016A" w:rsidRDefault="00304754" w:rsidP="0090016A">
            <w:pPr>
              <w:tabs>
                <w:tab w:val="left" w:pos="0"/>
              </w:tabs>
              <w:spacing w:line="276" w:lineRule="auto"/>
              <w:jc w:val="center"/>
              <w:rPr>
                <w:rFonts w:ascii="Times New Roman" w:hAnsi="Times New Roman"/>
                <w:sz w:val="20"/>
                <w:szCs w:val="20"/>
              </w:rPr>
            </w:pPr>
            <w:r w:rsidRPr="00304754">
              <w:rPr>
                <w:rFonts w:ascii="Times New Roman" w:hAnsi="Times New Roman"/>
                <w:sz w:val="20"/>
                <w:szCs w:val="20"/>
              </w:rPr>
              <w:t>597,75</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25DF375A" w:rsidR="008536FC" w:rsidRPr="0090016A" w:rsidRDefault="0030475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5379,75</w:t>
            </w:r>
          </w:p>
        </w:tc>
        <w:tc>
          <w:tcPr>
            <w:tcW w:w="1854" w:type="dxa"/>
            <w:shd w:val="clear" w:color="auto" w:fill="auto"/>
          </w:tcPr>
          <w:p w14:paraId="56856472" w14:textId="1C5DA25D" w:rsidR="008536FC" w:rsidRPr="0090016A" w:rsidRDefault="0030475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6401,90</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4420CC8A" w:rsidR="008536FC" w:rsidRPr="0090016A" w:rsidRDefault="00304754" w:rsidP="0090016A">
            <w:pPr>
              <w:tabs>
                <w:tab w:val="left" w:pos="0"/>
              </w:tabs>
              <w:spacing w:line="276" w:lineRule="auto"/>
              <w:jc w:val="center"/>
              <w:rPr>
                <w:rFonts w:ascii="Times New Roman" w:hAnsi="Times New Roman"/>
                <w:sz w:val="20"/>
                <w:szCs w:val="20"/>
              </w:rPr>
            </w:pPr>
            <w:r w:rsidRPr="00304754">
              <w:rPr>
                <w:rFonts w:ascii="Times New Roman" w:hAnsi="Times New Roman"/>
                <w:sz w:val="20"/>
                <w:szCs w:val="20"/>
              </w:rPr>
              <w:t>597,75</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69689393" w:rsidR="008536FC" w:rsidRPr="0090016A" w:rsidRDefault="0030475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1793,25</w:t>
            </w:r>
          </w:p>
        </w:tc>
        <w:tc>
          <w:tcPr>
            <w:tcW w:w="1854" w:type="dxa"/>
            <w:shd w:val="clear" w:color="auto" w:fill="auto"/>
          </w:tcPr>
          <w:p w14:paraId="06405343" w14:textId="2C7BC05C" w:rsidR="008536FC" w:rsidRPr="0090016A" w:rsidRDefault="0030475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2133,97</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5AEE404C" w:rsidR="008536FC" w:rsidRPr="0090016A" w:rsidRDefault="00304754" w:rsidP="0090016A">
            <w:pPr>
              <w:tabs>
                <w:tab w:val="left" w:pos="0"/>
              </w:tabs>
              <w:spacing w:line="276" w:lineRule="auto"/>
              <w:jc w:val="center"/>
              <w:rPr>
                <w:rFonts w:ascii="Times New Roman" w:hAnsi="Times New Roman"/>
                <w:sz w:val="20"/>
                <w:szCs w:val="20"/>
              </w:rPr>
            </w:pPr>
            <w:r w:rsidRPr="00304754">
              <w:rPr>
                <w:rFonts w:ascii="Times New Roman" w:hAnsi="Times New Roman"/>
                <w:sz w:val="20"/>
                <w:szCs w:val="20"/>
              </w:rPr>
              <w:t>597,75</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4B8D6461" w:rsidR="008536FC" w:rsidRPr="0090016A" w:rsidRDefault="0030475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8368,5</w:t>
            </w:r>
          </w:p>
        </w:tc>
        <w:tc>
          <w:tcPr>
            <w:tcW w:w="1854" w:type="dxa"/>
            <w:shd w:val="clear" w:color="auto" w:fill="auto"/>
          </w:tcPr>
          <w:p w14:paraId="4A7C488F" w14:textId="6CD24D35" w:rsidR="008536FC" w:rsidRPr="0090016A" w:rsidRDefault="0030475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9958,52</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18FF8770" w:rsidR="00F37194" w:rsidRPr="0090016A" w:rsidRDefault="00BC40F1" w:rsidP="0090016A">
            <w:pPr>
              <w:widowControl w:val="0"/>
              <w:tabs>
                <w:tab w:val="left" w:pos="0"/>
              </w:tabs>
              <w:spacing w:after="0" w:line="276" w:lineRule="auto"/>
              <w:jc w:val="both"/>
              <w:rPr>
                <w:rFonts w:ascii="Times New Roman" w:hAnsi="Times New Roman"/>
                <w:color w:val="000000"/>
                <w:sz w:val="20"/>
                <w:szCs w:val="20"/>
              </w:rPr>
            </w:pPr>
            <w:r w:rsidRPr="00BC40F1">
              <w:rPr>
                <w:rFonts w:ascii="Times New Roman" w:hAnsi="Times New Roman"/>
                <w:b/>
                <w:bCs/>
                <w:color w:val="000000"/>
                <w:sz w:val="20"/>
                <w:szCs w:val="20"/>
              </w:rPr>
              <w:t>TOTAL</w:t>
            </w:r>
          </w:p>
        </w:tc>
        <w:tc>
          <w:tcPr>
            <w:tcW w:w="1201" w:type="dxa"/>
            <w:shd w:val="clear" w:color="auto" w:fill="auto"/>
          </w:tcPr>
          <w:p w14:paraId="3F37E3EE" w14:textId="7AC7FFB2" w:rsidR="00F37194" w:rsidRPr="0090016A" w:rsidRDefault="00BC40F1" w:rsidP="0090016A">
            <w:pPr>
              <w:widowControl w:val="0"/>
              <w:tabs>
                <w:tab w:val="left" w:pos="0"/>
              </w:tabs>
              <w:spacing w:after="0" w:line="276" w:lineRule="auto"/>
              <w:jc w:val="center"/>
              <w:rPr>
                <w:rFonts w:ascii="Times New Roman" w:hAnsi="Times New Roman"/>
                <w:color w:val="000000"/>
                <w:sz w:val="20"/>
                <w:szCs w:val="20"/>
              </w:rPr>
            </w:pPr>
            <w:r w:rsidRPr="00BC40F1">
              <w:rPr>
                <w:rFonts w:ascii="Times New Roman" w:hAnsi="Times New Roman"/>
                <w:color w:val="000000"/>
                <w:sz w:val="20"/>
                <w:szCs w:val="20"/>
              </w:rPr>
              <w:t>597,75</w:t>
            </w:r>
          </w:p>
        </w:tc>
        <w:tc>
          <w:tcPr>
            <w:tcW w:w="2105" w:type="dxa"/>
            <w:shd w:val="clear" w:color="auto" w:fill="auto"/>
          </w:tcPr>
          <w:p w14:paraId="5E2FEE09" w14:textId="28420DD0" w:rsidR="00F37194" w:rsidRPr="0090016A" w:rsidRDefault="00BC40F1"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241EA964" w:rsidR="00F37194" w:rsidRPr="0090016A" w:rsidRDefault="00304754" w:rsidP="0090016A">
            <w:pPr>
              <w:widowControl w:val="0"/>
              <w:tabs>
                <w:tab w:val="left" w:pos="0"/>
              </w:tabs>
              <w:spacing w:after="0" w:line="276" w:lineRule="auto"/>
              <w:jc w:val="center"/>
              <w:rPr>
                <w:rFonts w:ascii="Times New Roman" w:hAnsi="Times New Roman"/>
                <w:b/>
                <w:bCs/>
                <w:color w:val="000000"/>
                <w:sz w:val="20"/>
                <w:szCs w:val="20"/>
              </w:rPr>
            </w:pPr>
            <w:r w:rsidRPr="00304754">
              <w:rPr>
                <w:rFonts w:ascii="Times New Roman" w:hAnsi="Times New Roman"/>
                <w:b/>
                <w:bCs/>
                <w:color w:val="000000"/>
                <w:sz w:val="20"/>
                <w:szCs w:val="20"/>
              </w:rPr>
              <w:t>15.840,38</w:t>
            </w:r>
          </w:p>
        </w:tc>
        <w:tc>
          <w:tcPr>
            <w:tcW w:w="1854" w:type="dxa"/>
            <w:shd w:val="clear" w:color="auto" w:fill="auto"/>
          </w:tcPr>
          <w:p w14:paraId="76CC7EAE" w14:textId="4E0EDC06" w:rsidR="00F37194" w:rsidRPr="0090016A" w:rsidRDefault="00304754" w:rsidP="0090016A">
            <w:pPr>
              <w:widowControl w:val="0"/>
              <w:tabs>
                <w:tab w:val="left" w:pos="0"/>
              </w:tabs>
              <w:spacing w:after="0" w:line="276" w:lineRule="auto"/>
              <w:jc w:val="center"/>
              <w:rPr>
                <w:rFonts w:ascii="Times New Roman" w:hAnsi="Times New Roman"/>
                <w:b/>
                <w:bCs/>
                <w:color w:val="000000"/>
                <w:sz w:val="20"/>
                <w:szCs w:val="20"/>
              </w:rPr>
            </w:pPr>
            <w:r w:rsidRPr="00304754">
              <w:rPr>
                <w:rFonts w:ascii="Times New Roman" w:hAnsi="Times New Roman"/>
                <w:b/>
                <w:bCs/>
                <w:color w:val="000000"/>
                <w:sz w:val="20"/>
                <w:szCs w:val="20"/>
              </w:rPr>
              <w:t>18.850,05</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77107F97"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1251AA">
        <w:rPr>
          <w:rFonts w:ascii="Times New Roman" w:hAnsi="Times New Roman"/>
          <w:b/>
          <w:sz w:val="23"/>
          <w:szCs w:val="23"/>
        </w:rPr>
        <w:t>1340</w:t>
      </w:r>
      <w:r w:rsidRPr="0090016A">
        <w:rPr>
          <w:rFonts w:ascii="Times New Roman" w:hAnsi="Times New Roman"/>
          <w:b/>
          <w:sz w:val="23"/>
          <w:szCs w:val="23"/>
        </w:rPr>
        <w:t>/14.03.2023</w:t>
      </w:r>
    </w:p>
    <w:p w14:paraId="4B9E03E0" w14:textId="28C605FE"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1251AA">
        <w:rPr>
          <w:rFonts w:ascii="Times New Roman" w:hAnsi="Times New Roman"/>
          <w:b/>
          <w:sz w:val="23"/>
          <w:szCs w:val="23"/>
        </w:rPr>
        <w:t>DA32766834</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78C2585F"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1251AA">
        <w:rPr>
          <w:rFonts w:ascii="Times New Roman" w:hAnsi="Times New Roman"/>
          <w:b/>
          <w:sz w:val="23"/>
          <w:szCs w:val="23"/>
        </w:rPr>
        <w:t>12.3</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proofErr w:type="spellStart"/>
      <w:r w:rsidR="00C725DF" w:rsidRPr="00C725DF">
        <w:rPr>
          <w:rFonts w:ascii="Times New Roman" w:hAnsi="Times New Roman"/>
          <w:sz w:val="23"/>
          <w:szCs w:val="23"/>
        </w:rPr>
        <w:t>Comisia</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Tehnico-Economică</w:t>
      </w:r>
      <w:proofErr w:type="spellEnd"/>
      <w:r w:rsidR="00C725DF" w:rsidRPr="00C725DF">
        <w:rPr>
          <w:rFonts w:ascii="Times New Roman" w:hAnsi="Times New Roman"/>
          <w:sz w:val="23"/>
          <w:szCs w:val="23"/>
        </w:rPr>
        <w:t xml:space="preserve"> (CTE) de </w:t>
      </w:r>
      <w:proofErr w:type="spellStart"/>
      <w:r w:rsidR="00C725DF" w:rsidRPr="00C725DF">
        <w:rPr>
          <w:rFonts w:ascii="Times New Roman" w:hAnsi="Times New Roman"/>
          <w:sz w:val="23"/>
          <w:szCs w:val="23"/>
        </w:rPr>
        <w:t>aprobare</w:t>
      </w:r>
      <w:proofErr w:type="spellEnd"/>
      <w:r w:rsidR="00C725DF" w:rsidRPr="00C725DF">
        <w:rPr>
          <w:rFonts w:ascii="Times New Roman" w:hAnsi="Times New Roman"/>
          <w:sz w:val="23"/>
          <w:szCs w:val="23"/>
        </w:rPr>
        <w:t xml:space="preserve"> a </w:t>
      </w:r>
      <w:proofErr w:type="spellStart"/>
      <w:r w:rsidR="00C725DF" w:rsidRPr="00C725DF">
        <w:rPr>
          <w:rFonts w:ascii="Times New Roman" w:hAnsi="Times New Roman"/>
          <w:sz w:val="23"/>
          <w:szCs w:val="23"/>
        </w:rPr>
        <w:t>indicatorilor</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tehnico-economici</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organizată</w:t>
      </w:r>
      <w:proofErr w:type="spellEnd"/>
      <w:r w:rsidR="00C725DF" w:rsidRPr="00C725DF">
        <w:rPr>
          <w:rFonts w:ascii="Times New Roman" w:hAnsi="Times New Roman"/>
          <w:sz w:val="23"/>
          <w:szCs w:val="23"/>
        </w:rPr>
        <w:t xml:space="preserve"> la </w:t>
      </w:r>
      <w:proofErr w:type="spellStart"/>
      <w:r w:rsidR="00C725DF" w:rsidRPr="00C725DF">
        <w:rPr>
          <w:rFonts w:ascii="Times New Roman" w:hAnsi="Times New Roman"/>
          <w:sz w:val="23"/>
          <w:szCs w:val="23"/>
        </w:rPr>
        <w:t>nivelul</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Primăriei</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Sectorului</w:t>
      </w:r>
      <w:proofErr w:type="spellEnd"/>
      <w:r w:rsidR="00C725DF" w:rsidRPr="00C725DF">
        <w:rPr>
          <w:rFonts w:ascii="Times New Roman" w:hAnsi="Times New Roman"/>
          <w:sz w:val="23"/>
          <w:szCs w:val="23"/>
        </w:rPr>
        <w:t xml:space="preserve">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w:t>
      </w:r>
      <w:proofErr w:type="spellStart"/>
      <w:r w:rsidRPr="0090016A">
        <w:rPr>
          <w:sz w:val="23"/>
          <w:szCs w:val="23"/>
          <w:bdr w:val="none" w:sz="0" w:space="0" w:color="auto" w:frame="1"/>
          <w:lang w:val="fr-FR"/>
        </w:rPr>
        <w:t>Termenul</w:t>
      </w:r>
      <w:proofErr w:type="spellEnd"/>
      <w:r w:rsidRPr="0090016A">
        <w:rPr>
          <w:sz w:val="23"/>
          <w:szCs w:val="23"/>
          <w:bdr w:val="none" w:sz="0" w:space="0" w:color="auto" w:frame="1"/>
          <w:lang w:val="fr-FR"/>
        </w:rPr>
        <w:t xml:space="preserve"> de </w:t>
      </w:r>
      <w:proofErr w:type="spellStart"/>
      <w:r w:rsidRPr="0090016A">
        <w:rPr>
          <w:sz w:val="23"/>
          <w:szCs w:val="23"/>
          <w:bdr w:val="none" w:sz="0" w:space="0" w:color="auto" w:frame="1"/>
          <w:lang w:val="fr-FR"/>
        </w:rPr>
        <w:t>plată</w:t>
      </w:r>
      <w:proofErr w:type="spellEnd"/>
      <w:r w:rsidRPr="0090016A">
        <w:rPr>
          <w:sz w:val="23"/>
          <w:szCs w:val="23"/>
          <w:bdr w:val="none" w:sz="0" w:space="0" w:color="auto" w:frame="1"/>
          <w:lang w:val="fr-FR"/>
        </w:rPr>
        <w:t xml:space="preserve"> este de </w:t>
      </w:r>
      <w:proofErr w:type="spellStart"/>
      <w:r w:rsidRPr="0090016A">
        <w:rPr>
          <w:sz w:val="23"/>
          <w:szCs w:val="23"/>
          <w:bdr w:val="none" w:sz="0" w:space="0" w:color="auto" w:frame="1"/>
          <w:lang w:val="fr-FR"/>
        </w:rPr>
        <w:t>maxim</w:t>
      </w:r>
      <w:proofErr w:type="spellEnd"/>
      <w:r w:rsidRPr="0090016A">
        <w:rPr>
          <w:sz w:val="23"/>
          <w:szCs w:val="23"/>
          <w:bdr w:val="none" w:sz="0" w:space="0" w:color="auto" w:frame="1"/>
          <w:lang w:val="fr-FR"/>
        </w:rPr>
        <w:t xml:space="preserve"> 30 de </w:t>
      </w:r>
      <w:proofErr w:type="spellStart"/>
      <w:r w:rsidRPr="0090016A">
        <w:rPr>
          <w:sz w:val="23"/>
          <w:szCs w:val="23"/>
          <w:bdr w:val="none" w:sz="0" w:space="0" w:color="auto" w:frame="1"/>
          <w:lang w:val="fr-FR"/>
        </w:rPr>
        <w:t>zile</w:t>
      </w:r>
      <w:proofErr w:type="spellEnd"/>
      <w:r w:rsidRPr="0090016A">
        <w:rPr>
          <w:sz w:val="23"/>
          <w:szCs w:val="23"/>
          <w:bdr w:val="none" w:sz="0" w:space="0" w:color="auto" w:frame="1"/>
          <w:lang w:val="fr-FR"/>
        </w:rPr>
        <w:t xml:space="preserve"> de </w:t>
      </w:r>
      <w:r w:rsidRPr="0090016A">
        <w:rPr>
          <w:sz w:val="23"/>
          <w:szCs w:val="23"/>
          <w:lang w:val="es-ES"/>
        </w:rPr>
        <w:t xml:space="preserve">de la data </w:t>
      </w:r>
      <w:proofErr w:type="spellStart"/>
      <w:r w:rsidRPr="0090016A">
        <w:rPr>
          <w:sz w:val="23"/>
          <w:szCs w:val="23"/>
          <w:lang w:val="es-ES"/>
        </w:rPr>
        <w:t>înregistrării</w:t>
      </w:r>
      <w:proofErr w:type="spellEnd"/>
      <w:r w:rsidRPr="0090016A">
        <w:rPr>
          <w:sz w:val="23"/>
          <w:szCs w:val="23"/>
          <w:lang w:val="es-ES"/>
        </w:rPr>
        <w:t xml:space="preserve"> </w:t>
      </w:r>
      <w:proofErr w:type="spellStart"/>
      <w:r w:rsidRPr="0090016A">
        <w:rPr>
          <w:sz w:val="23"/>
          <w:szCs w:val="23"/>
          <w:lang w:val="es-ES"/>
        </w:rPr>
        <w:t>facturilor</w:t>
      </w:r>
      <w:proofErr w:type="spellEnd"/>
      <w:r w:rsidRPr="0090016A">
        <w:rPr>
          <w:sz w:val="23"/>
          <w:szCs w:val="23"/>
          <w:lang w:val="es-ES"/>
        </w:rPr>
        <w:t xml:space="preserve"> la </w:t>
      </w:r>
      <w:proofErr w:type="spellStart"/>
      <w:r w:rsidRPr="0090016A">
        <w:rPr>
          <w:sz w:val="23"/>
          <w:szCs w:val="23"/>
          <w:lang w:val="es-ES"/>
        </w:rPr>
        <w:t>sediul</w:t>
      </w:r>
      <w:proofErr w:type="spellEnd"/>
      <w:r w:rsidRPr="0090016A">
        <w:rPr>
          <w:sz w:val="23"/>
          <w:szCs w:val="23"/>
          <w:lang w:val="es-ES"/>
        </w:rPr>
        <w:t xml:space="preserve"> </w:t>
      </w:r>
      <w:proofErr w:type="spellStart"/>
      <w:r w:rsidRPr="0090016A">
        <w:rPr>
          <w:sz w:val="23"/>
          <w:szCs w:val="23"/>
          <w:lang w:val="es-ES"/>
        </w:rPr>
        <w:t>achizitorului</w:t>
      </w:r>
      <w:proofErr w:type="spellEnd"/>
      <w:r w:rsidRPr="0090016A">
        <w:rPr>
          <w:sz w:val="23"/>
          <w:szCs w:val="23"/>
          <w:lang w:val="es-ES"/>
        </w:rPr>
        <w:t xml:space="preserve">, </w:t>
      </w:r>
      <w:proofErr w:type="spellStart"/>
      <w:r w:rsidRPr="0090016A">
        <w:rPr>
          <w:sz w:val="23"/>
          <w:szCs w:val="23"/>
          <w:lang w:val="es-ES"/>
        </w:rPr>
        <w:t>cu</w:t>
      </w:r>
      <w:proofErr w:type="spellEnd"/>
      <w:r w:rsidRPr="0090016A">
        <w:rPr>
          <w:sz w:val="23"/>
          <w:szCs w:val="23"/>
          <w:lang w:val="es-ES"/>
        </w:rPr>
        <w:t xml:space="preserve"> </w:t>
      </w:r>
      <w:proofErr w:type="spellStart"/>
      <w:r w:rsidRPr="0090016A">
        <w:rPr>
          <w:sz w:val="23"/>
          <w:szCs w:val="23"/>
          <w:lang w:val="es-ES"/>
        </w:rPr>
        <w:t>condiția</w:t>
      </w:r>
      <w:proofErr w:type="spellEnd"/>
      <w:r w:rsidRPr="0090016A">
        <w:rPr>
          <w:sz w:val="23"/>
          <w:szCs w:val="23"/>
          <w:lang w:val="es-ES"/>
        </w:rPr>
        <w:t xml:space="preserve"> </w:t>
      </w:r>
      <w:proofErr w:type="spellStart"/>
      <w:r w:rsidRPr="0090016A">
        <w:rPr>
          <w:sz w:val="23"/>
          <w:szCs w:val="23"/>
          <w:lang w:val="es-ES"/>
        </w:rPr>
        <w:t>semnării</w:t>
      </w:r>
      <w:proofErr w:type="spellEnd"/>
      <w:r w:rsidRPr="0090016A">
        <w:rPr>
          <w:sz w:val="23"/>
          <w:szCs w:val="23"/>
          <w:lang w:val="es-ES"/>
        </w:rPr>
        <w:t xml:space="preserve"> </w:t>
      </w:r>
      <w:proofErr w:type="spellStart"/>
      <w:r w:rsidRPr="0090016A">
        <w:rPr>
          <w:sz w:val="23"/>
          <w:szCs w:val="23"/>
          <w:lang w:val="es-ES"/>
        </w:rPr>
        <w:t>procesului</w:t>
      </w:r>
      <w:proofErr w:type="spellEnd"/>
      <w:r w:rsidRPr="0090016A">
        <w:rPr>
          <w:sz w:val="23"/>
          <w:szCs w:val="23"/>
          <w:lang w:val="es-ES"/>
        </w:rPr>
        <w:t xml:space="preserve">-verbal de </w:t>
      </w:r>
      <w:proofErr w:type="spellStart"/>
      <w:r w:rsidRPr="0090016A">
        <w:rPr>
          <w:sz w:val="23"/>
          <w:szCs w:val="23"/>
          <w:lang w:val="es-ES"/>
        </w:rPr>
        <w:t>recepție</w:t>
      </w:r>
      <w:proofErr w:type="spellEnd"/>
      <w:r w:rsidRPr="0090016A">
        <w:rPr>
          <w:sz w:val="23"/>
          <w:szCs w:val="23"/>
          <w:lang w:val="es-ES"/>
        </w:rPr>
        <w:t xml:space="preserve"> a </w:t>
      </w:r>
      <w:proofErr w:type="spellStart"/>
      <w:r w:rsidRPr="0090016A">
        <w:rPr>
          <w:sz w:val="23"/>
          <w:szCs w:val="23"/>
          <w:lang w:val="es-ES"/>
        </w:rPr>
        <w:t>serviciilor</w:t>
      </w:r>
      <w:proofErr w:type="spellEnd"/>
      <w:r w:rsidRPr="0090016A">
        <w:rPr>
          <w:sz w:val="23"/>
          <w:szCs w:val="23"/>
          <w:lang w:val="es-ES"/>
        </w:rPr>
        <w:t xml:space="preserve">, </w:t>
      </w:r>
      <w:proofErr w:type="spellStart"/>
      <w:r w:rsidRPr="0090016A">
        <w:rPr>
          <w:sz w:val="23"/>
          <w:szCs w:val="23"/>
          <w:lang w:val="es-ES"/>
        </w:rPr>
        <w:t>fără</w:t>
      </w:r>
      <w:proofErr w:type="spellEnd"/>
      <w:r w:rsidRPr="0090016A">
        <w:rPr>
          <w:sz w:val="23"/>
          <w:szCs w:val="23"/>
          <w:lang w:val="es-ES"/>
        </w:rPr>
        <w:t xml:space="preserve"> </w:t>
      </w:r>
      <w:proofErr w:type="spellStart"/>
      <w:r w:rsidRPr="0090016A">
        <w:rPr>
          <w:sz w:val="23"/>
          <w:szCs w:val="23"/>
          <w:lang w:val="es-ES"/>
        </w:rPr>
        <w:t>obiecții</w:t>
      </w:r>
      <w:proofErr w:type="spellEnd"/>
      <w:r w:rsidRPr="0090016A">
        <w:rPr>
          <w:sz w:val="23"/>
          <w:szCs w:val="23"/>
          <w:lang w:val="es-ES"/>
        </w:rPr>
        <w:t xml:space="preserve">.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proofErr w:type="spellStart"/>
      <w:r w:rsidRPr="0090016A">
        <w:rPr>
          <w:rFonts w:ascii="Times New Roman" w:hAnsi="Times New Roman"/>
          <w:sz w:val="23"/>
          <w:szCs w:val="23"/>
          <w:bdr w:val="none" w:sz="0" w:space="0" w:color="auto" w:frame="1"/>
          <w:lang w:val="fr-FR"/>
        </w:rPr>
        <w:t>recepție</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calitativă</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și</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cantitativă</w:t>
      </w:r>
      <w:proofErr w:type="spellEnd"/>
      <w:r w:rsidRPr="0090016A">
        <w:rPr>
          <w:rFonts w:ascii="Times New Roman" w:hAnsi="Times New Roman"/>
          <w:sz w:val="23"/>
          <w:szCs w:val="23"/>
          <w:bdr w:val="none" w:sz="0" w:space="0" w:color="auto" w:frame="1"/>
          <w:lang w:val="fr-FR"/>
        </w:rPr>
        <w:t xml:space="preserve"> a </w:t>
      </w:r>
      <w:proofErr w:type="spellStart"/>
      <w:r w:rsidRPr="0090016A">
        <w:rPr>
          <w:rFonts w:ascii="Times New Roman" w:hAnsi="Times New Roman"/>
          <w:sz w:val="23"/>
          <w:szCs w:val="23"/>
          <w:bdr w:val="none" w:sz="0" w:space="0" w:color="auto" w:frame="1"/>
          <w:lang w:val="fr-FR"/>
        </w:rPr>
        <w:t>serviciilor</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prestate</w:t>
      </w:r>
      <w:proofErr w:type="spellEnd"/>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7640E721" w:rsidR="004D57FF" w:rsidRPr="00E94540" w:rsidRDefault="006F6EFE" w:rsidP="00E94540">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E94540">
        <w:rPr>
          <w:rFonts w:ascii="Times New Roman" w:hAnsi="Times New Roman"/>
          <w:color w:val="000000"/>
          <w:sz w:val="23"/>
          <w:szCs w:val="23"/>
        </w:rPr>
        <w:t>Oricare dintre P</w:t>
      </w:r>
      <w:r w:rsidRPr="00E94540">
        <w:rPr>
          <w:rFonts w:ascii="Times New Roman" w:hAnsi="Times New Roman" w:cs="Calibri"/>
          <w:color w:val="000000"/>
          <w:sz w:val="23"/>
          <w:szCs w:val="23"/>
        </w:rPr>
        <w:t>ă</w:t>
      </w:r>
      <w:r w:rsidRPr="00E94540">
        <w:rPr>
          <w:rFonts w:ascii="Times New Roman" w:hAnsi="Times New Roman"/>
          <w:color w:val="000000"/>
          <w:sz w:val="23"/>
          <w:szCs w:val="23"/>
        </w:rPr>
        <w:t>r</w:t>
      </w:r>
      <w:r w:rsidRPr="00E94540">
        <w:rPr>
          <w:rFonts w:ascii="Times New Roman" w:hAnsi="Times New Roman" w:cs="Calibri"/>
          <w:color w:val="000000"/>
          <w:sz w:val="23"/>
          <w:szCs w:val="23"/>
        </w:rPr>
        <w:t>ț</w:t>
      </w:r>
      <w:r w:rsidRPr="00E94540">
        <w:rPr>
          <w:rFonts w:ascii="Times New Roman" w:hAnsi="Times New Roman"/>
          <w:color w:val="000000"/>
          <w:sz w:val="23"/>
          <w:szCs w:val="23"/>
        </w:rPr>
        <w:t>i notific</w:t>
      </w:r>
      <w:r w:rsidRPr="00E94540">
        <w:rPr>
          <w:rFonts w:ascii="Times New Roman" w:hAnsi="Times New Roman" w:cs="Calibri"/>
          <w:color w:val="000000"/>
          <w:sz w:val="23"/>
          <w:szCs w:val="23"/>
        </w:rPr>
        <w:t>ă</w:t>
      </w:r>
      <w:r w:rsidRPr="00E94540">
        <w:rPr>
          <w:rFonts w:ascii="Times New Roman" w:hAnsi="Times New Roman"/>
          <w:color w:val="000000"/>
          <w:sz w:val="23"/>
          <w:szCs w:val="23"/>
        </w:rPr>
        <w:t xml:space="preserve"> cealaltă Parte, </w:t>
      </w:r>
      <w:r w:rsidR="00F268B4" w:rsidRPr="00E94540">
        <w:rPr>
          <w:rFonts w:ascii="Times New Roman" w:hAnsi="Times New Roman"/>
          <w:color w:val="000000"/>
          <w:sz w:val="23"/>
          <w:szCs w:val="23"/>
        </w:rPr>
        <w:t>la apariția unei</w:t>
      </w:r>
      <w:r w:rsidRPr="00E94540">
        <w:rPr>
          <w:rFonts w:ascii="Times New Roman" w:hAnsi="Times New Roman"/>
          <w:color w:val="000000"/>
          <w:sz w:val="23"/>
          <w:szCs w:val="23"/>
        </w:rPr>
        <w:t xml:space="preserve"> neclarit</w:t>
      </w:r>
      <w:r w:rsidR="00F268B4" w:rsidRPr="00E94540">
        <w:rPr>
          <w:rFonts w:ascii="Times New Roman" w:hAnsi="Times New Roman"/>
          <w:color w:val="000000"/>
          <w:sz w:val="23"/>
          <w:szCs w:val="23"/>
        </w:rPr>
        <w:t>ăți</w:t>
      </w:r>
      <w:r w:rsidRPr="00E94540">
        <w:rPr>
          <w:rFonts w:ascii="Times New Roman" w:hAnsi="Times New Roman"/>
          <w:color w:val="000000"/>
          <w:sz w:val="23"/>
          <w:szCs w:val="23"/>
        </w:rPr>
        <w:t>/ambiguit</w:t>
      </w:r>
      <w:r w:rsidR="00F268B4" w:rsidRPr="00E94540">
        <w:rPr>
          <w:rFonts w:ascii="Times New Roman" w:hAnsi="Times New Roman"/>
          <w:color w:val="000000"/>
          <w:sz w:val="23"/>
          <w:szCs w:val="23"/>
        </w:rPr>
        <w:t>ăți</w:t>
      </w:r>
      <w:r w:rsidRPr="00E94540">
        <w:rPr>
          <w:rFonts w:ascii="Times New Roman" w:hAnsi="Times New Roman"/>
          <w:color w:val="000000"/>
          <w:sz w:val="23"/>
          <w:szCs w:val="23"/>
        </w:rPr>
        <w:t xml:space="preserve"> sau incoerenț</w:t>
      </w:r>
      <w:r w:rsidR="00F268B4" w:rsidRPr="00E94540">
        <w:rPr>
          <w:rFonts w:ascii="Times New Roman" w:hAnsi="Times New Roman"/>
          <w:color w:val="000000"/>
          <w:sz w:val="23"/>
          <w:szCs w:val="23"/>
        </w:rPr>
        <w:t>e</w:t>
      </w:r>
      <w:r w:rsidRPr="00E94540">
        <w:rPr>
          <w:rFonts w:ascii="Times New Roman" w:hAnsi="Times New Roman"/>
          <w:color w:val="000000"/>
          <w:sz w:val="23"/>
          <w:szCs w:val="23"/>
        </w:rPr>
        <w:t>/neconcordanț</w:t>
      </w:r>
      <w:r w:rsidR="00F268B4" w:rsidRPr="00E94540">
        <w:rPr>
          <w:rFonts w:ascii="Times New Roman" w:hAnsi="Times New Roman"/>
          <w:color w:val="000000"/>
          <w:sz w:val="23"/>
          <w:szCs w:val="23"/>
        </w:rPr>
        <w:t>e</w:t>
      </w:r>
      <w:r w:rsidRPr="00E94540">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E94540">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w:t>
      </w:r>
      <w:proofErr w:type="spellStart"/>
      <w:r w:rsidR="00967EAE" w:rsidRPr="0090016A">
        <w:rPr>
          <w:rFonts w:ascii="Times New Roman" w:hAnsi="Times New Roman"/>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luat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cunoștință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la data de 25 </w:t>
      </w:r>
      <w:proofErr w:type="spellStart"/>
      <w:r w:rsidR="00967EAE" w:rsidRPr="0090016A">
        <w:rPr>
          <w:rFonts w:ascii="Times New Roman" w:hAnsi="Times New Roman"/>
          <w:sz w:val="23"/>
          <w:szCs w:val="23"/>
          <w:lang w:val="es-ES"/>
        </w:rPr>
        <w:t>mai</w:t>
      </w:r>
      <w:proofErr w:type="spellEnd"/>
      <w:r w:rsidR="00967EAE" w:rsidRPr="0090016A">
        <w:rPr>
          <w:rFonts w:ascii="Times New Roman" w:hAnsi="Times New Roman"/>
          <w:sz w:val="23"/>
          <w:szCs w:val="23"/>
          <w:lang w:val="es-ES"/>
        </w:rPr>
        <w:t xml:space="preserve"> 2018,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nr</w:t>
      </w:r>
      <w:proofErr w:type="spellEnd"/>
      <w:r w:rsidR="00967EAE" w:rsidRPr="0090016A">
        <w:rPr>
          <w:rFonts w:ascii="Times New Roman" w:hAnsi="Times New Roman"/>
          <w:sz w:val="23"/>
          <w:szCs w:val="23"/>
          <w:lang w:val="es-ES"/>
        </w:rPr>
        <w:t xml:space="preserve">. 679 </w:t>
      </w:r>
      <w:proofErr w:type="spellStart"/>
      <w:proofErr w:type="gramStart"/>
      <w:r w:rsidR="00967EAE" w:rsidRPr="0090016A">
        <w:rPr>
          <w:rFonts w:ascii="Times New Roman" w:hAnsi="Times New Roman"/>
          <w:sz w:val="23"/>
          <w:szCs w:val="23"/>
          <w:lang w:val="es-ES"/>
        </w:rPr>
        <w:t>din</w:t>
      </w:r>
      <w:proofErr w:type="spellEnd"/>
      <w:proofErr w:type="gramEnd"/>
      <w:r w:rsidR="00967EAE" w:rsidRPr="0090016A">
        <w:rPr>
          <w:rFonts w:ascii="Times New Roman" w:hAnsi="Times New Roman"/>
          <w:sz w:val="23"/>
          <w:szCs w:val="23"/>
          <w:lang w:val="es-ES"/>
        </w:rPr>
        <w:t xml:space="preserve"> 27 </w:t>
      </w:r>
      <w:proofErr w:type="spellStart"/>
      <w:r w:rsidR="00967EAE" w:rsidRPr="0090016A">
        <w:rPr>
          <w:rFonts w:ascii="Times New Roman" w:hAnsi="Times New Roman"/>
          <w:sz w:val="23"/>
          <w:szCs w:val="23"/>
          <w:lang w:val="es-ES"/>
        </w:rPr>
        <w:t>aprilie</w:t>
      </w:r>
      <w:proofErr w:type="spellEnd"/>
      <w:r w:rsidR="00967EAE" w:rsidRPr="0090016A">
        <w:rPr>
          <w:rFonts w:ascii="Times New Roman" w:hAnsi="Times New Roman"/>
          <w:sz w:val="23"/>
          <w:szCs w:val="23"/>
          <w:lang w:val="es-ES"/>
        </w:rPr>
        <w:t xml:space="preserve"> 2016 al </w:t>
      </w:r>
      <w:proofErr w:type="spellStart"/>
      <w:r w:rsidR="00967EAE" w:rsidRPr="0090016A">
        <w:rPr>
          <w:rFonts w:ascii="Times New Roman" w:hAnsi="Times New Roman"/>
          <w:sz w:val="23"/>
          <w:szCs w:val="23"/>
          <w:lang w:val="es-ES"/>
        </w:rPr>
        <w:t>Parlamentului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European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al </w:t>
      </w:r>
      <w:proofErr w:type="spellStart"/>
      <w:r w:rsidR="00967EAE" w:rsidRPr="0090016A">
        <w:rPr>
          <w:rFonts w:ascii="Times New Roman" w:hAnsi="Times New Roman"/>
          <w:sz w:val="23"/>
          <w:szCs w:val="23"/>
          <w:lang w:val="es-ES"/>
        </w:rPr>
        <w:t>Consiliului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Uniunii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Europene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persoanelor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fizice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ceea</w:t>
      </w:r>
      <w:proofErr w:type="spellEnd"/>
      <w:r w:rsidR="00967EAE" w:rsidRPr="0090016A">
        <w:rPr>
          <w:rFonts w:ascii="Times New Roman" w:hAnsi="Times New Roman"/>
          <w:sz w:val="23"/>
          <w:szCs w:val="23"/>
          <w:lang w:val="es-ES"/>
        </w:rPr>
        <w:t xml:space="preserve"> ce </w:t>
      </w:r>
      <w:proofErr w:type="spellStart"/>
      <w:r w:rsidR="00967EAE" w:rsidRPr="0090016A">
        <w:rPr>
          <w:rFonts w:ascii="Times New Roman" w:hAnsi="Times New Roman"/>
          <w:sz w:val="23"/>
          <w:szCs w:val="23"/>
          <w:lang w:val="es-ES"/>
        </w:rPr>
        <w:t>privește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prelucrarea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libera </w:t>
      </w:r>
      <w:proofErr w:type="spellStart"/>
      <w:r w:rsidR="00967EAE" w:rsidRPr="0090016A">
        <w:rPr>
          <w:rFonts w:ascii="Times New Roman" w:hAnsi="Times New Roman"/>
          <w:sz w:val="23"/>
          <w:szCs w:val="23"/>
          <w:lang w:val="es-ES"/>
        </w:rPr>
        <w:t>circulație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acestor</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de abrogare a </w:t>
      </w:r>
      <w:proofErr w:type="spellStart"/>
      <w:r w:rsidR="00967EAE" w:rsidRPr="0090016A">
        <w:rPr>
          <w:rFonts w:ascii="Times New Roman" w:hAnsi="Times New Roman"/>
          <w:sz w:val="23"/>
          <w:szCs w:val="23"/>
          <w:lang w:val="es-ES"/>
        </w:rPr>
        <w:t>Directivei</w:t>
      </w:r>
      <w:proofErr w:type="spellEnd"/>
      <w:r w:rsidR="00967EAE" w:rsidRPr="0090016A">
        <w:rPr>
          <w:rFonts w:ascii="Times New Roman" w:hAnsi="Times New Roman"/>
          <w:sz w:val="23"/>
          <w:szCs w:val="23"/>
          <w:lang w:val="es-ES"/>
        </w:rPr>
        <w:t xml:space="preserve"> 95/46/CE (</w:t>
      </w:r>
      <w:proofErr w:type="spellStart"/>
      <w:r w:rsidR="00967EAE" w:rsidRPr="0090016A">
        <w:rPr>
          <w:rFonts w:ascii="Times New Roman" w:hAnsi="Times New Roman"/>
          <w:sz w:val="23"/>
          <w:szCs w:val="23"/>
          <w:lang w:val="es-ES"/>
        </w:rPr>
        <w:t>cunoscut</w:t>
      </w:r>
      <w:proofErr w:type="spellEnd"/>
      <w:r w:rsidR="00967EAE" w:rsidRPr="0090016A">
        <w:rPr>
          <w:rFonts w:ascii="Times New Roman" w:hAnsi="Times New Roman"/>
          <w:sz w:val="23"/>
          <w:szCs w:val="23"/>
          <w:lang w:val="es-ES"/>
        </w:rPr>
        <w:t xml:space="preserve"> sub </w:t>
      </w:r>
      <w:proofErr w:type="spellStart"/>
      <w:r w:rsidR="00967EAE" w:rsidRPr="0090016A">
        <w:rPr>
          <w:rFonts w:ascii="Times New Roman" w:hAnsi="Times New Roman"/>
          <w:sz w:val="23"/>
          <w:szCs w:val="23"/>
          <w:lang w:val="es-ES"/>
        </w:rPr>
        <w:t>denumirea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General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intrat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vigoare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fac</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toate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eforturile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rezonabile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a se </w:t>
      </w:r>
      <w:proofErr w:type="spellStart"/>
      <w:r w:rsidR="00967EAE" w:rsidRPr="0090016A">
        <w:rPr>
          <w:rFonts w:ascii="Times New Roman" w:hAnsi="Times New Roman"/>
          <w:sz w:val="23"/>
          <w:szCs w:val="23"/>
          <w:lang w:val="es-ES"/>
        </w:rPr>
        <w:t>asigura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conformează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prevederile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Regulamentului</w:t>
      </w:r>
      <w:proofErr w:type="spellEnd"/>
      <w:r w:rsidR="00967EAE" w:rsidRPr="0090016A">
        <w:rPr>
          <w:rFonts w:ascii="Times New Roman" w:hAnsi="Times New Roman"/>
          <w:sz w:val="23"/>
          <w:szCs w:val="23"/>
          <w:lang w:val="es-ES"/>
        </w:rPr>
        <w:t>;</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sz w:val="23"/>
          <w:szCs w:val="23"/>
          <w:lang w:val="es-ES"/>
        </w:rPr>
        <w:t>Atunci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prelucrează</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obligă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conformeze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legislația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aplicabilă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incluzând</w:t>
      </w:r>
      <w:proofErr w:type="spellEnd"/>
      <w:r w:rsidR="00967EAE" w:rsidRPr="0090016A">
        <w:rPr>
          <w:rFonts w:ascii="Times New Roman" w:hAnsi="Times New Roman"/>
          <w:sz w:val="23"/>
          <w:szCs w:val="23"/>
          <w:lang w:val="es-ES"/>
        </w:rPr>
        <w:t xml:space="preserve">, dar </w:t>
      </w:r>
      <w:proofErr w:type="spellStart"/>
      <w:r w:rsidR="00967EAE" w:rsidRPr="0090016A">
        <w:rPr>
          <w:rFonts w:ascii="Times New Roman" w:hAnsi="Times New Roman"/>
          <w:sz w:val="23"/>
          <w:szCs w:val="23"/>
          <w:lang w:val="es-ES"/>
        </w:rPr>
        <w:t>fără</w:t>
      </w:r>
      <w:proofErr w:type="spellEnd"/>
      <w:r w:rsidR="00967EAE" w:rsidRPr="0090016A">
        <w:rPr>
          <w:rFonts w:ascii="Times New Roman" w:hAnsi="Times New Roman"/>
          <w:sz w:val="23"/>
          <w:szCs w:val="23"/>
          <w:lang w:val="es-ES"/>
        </w:rPr>
        <w:t xml:space="preserve"> a se limita la, </w:t>
      </w:r>
      <w:proofErr w:type="spellStart"/>
      <w:r w:rsidR="00967EAE" w:rsidRPr="0090016A">
        <w:rPr>
          <w:rFonts w:ascii="Times New Roman" w:hAnsi="Times New Roman"/>
          <w:sz w:val="23"/>
          <w:szCs w:val="23"/>
          <w:lang w:val="es-ES"/>
        </w:rPr>
        <w:t>prevederile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legislația</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punere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aplicare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deciziile</w:t>
      </w:r>
      <w:proofErr w:type="spellEnd"/>
      <w:r w:rsidR="00967EAE" w:rsidRPr="0090016A">
        <w:rPr>
          <w:rFonts w:ascii="Times New Roman" w:hAnsi="Times New Roman"/>
          <w:sz w:val="23"/>
          <w:szCs w:val="23"/>
          <w:lang w:val="es-ES"/>
        </w:rPr>
        <w:t xml:space="preserve"> pe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Autoritatea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Națională</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Supraveghere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Prelucrării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(ANSPDCP) le </w:t>
      </w:r>
      <w:proofErr w:type="spellStart"/>
      <w:r w:rsidR="00967EAE" w:rsidRPr="0090016A">
        <w:rPr>
          <w:rFonts w:ascii="Times New Roman" w:hAnsi="Times New Roman"/>
          <w:sz w:val="23"/>
          <w:szCs w:val="23"/>
          <w:lang w:val="es-ES"/>
        </w:rPr>
        <w:t>poate</w:t>
      </w:r>
      <w:proofErr w:type="spellEnd"/>
      <w:r w:rsidR="00967EAE" w:rsidRPr="0090016A">
        <w:rPr>
          <w:rFonts w:ascii="Times New Roman" w:hAnsi="Times New Roman"/>
          <w:sz w:val="23"/>
          <w:szCs w:val="23"/>
          <w:lang w:val="es-ES"/>
        </w:rPr>
        <w:t xml:space="preserve"> emite </w:t>
      </w:r>
      <w:proofErr w:type="spellStart"/>
      <w:r w:rsidR="00967EAE" w:rsidRPr="0090016A">
        <w:rPr>
          <w:rFonts w:ascii="Times New Roman" w:hAnsi="Times New Roman"/>
          <w:sz w:val="23"/>
          <w:szCs w:val="23"/>
          <w:lang w:val="es-ES"/>
        </w:rPr>
        <w:t>din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acestea</w:t>
      </w:r>
      <w:proofErr w:type="spellEnd"/>
      <w:r w:rsidR="00967EAE" w:rsidRPr="0090016A">
        <w:rPr>
          <w:rFonts w:ascii="Times New Roman" w:hAnsi="Times New Roman"/>
          <w:sz w:val="23"/>
          <w:szCs w:val="23"/>
          <w:lang w:val="es-ES"/>
        </w:rPr>
        <w:t xml:space="preserve">.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w:t>
      </w:r>
      <w:proofErr w:type="spellStart"/>
      <w:r w:rsidR="00967EAE" w:rsidRPr="0090016A">
        <w:rPr>
          <w:rFonts w:ascii="Times New Roman" w:hAnsi="Times New Roman"/>
          <w:sz w:val="23"/>
          <w:szCs w:val="23"/>
          <w:lang w:val="es-ES"/>
        </w:rPr>
        <w:t>celeilalte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angajații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reprezentanții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responsabili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executarea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Aceste</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vor</w:t>
      </w:r>
      <w:proofErr w:type="spellEnd"/>
      <w:r w:rsidR="00967EAE" w:rsidRPr="0090016A">
        <w:rPr>
          <w:rFonts w:ascii="Times New Roman" w:hAnsi="Times New Roman"/>
          <w:sz w:val="23"/>
          <w:szCs w:val="23"/>
          <w:lang w:val="es-ES"/>
        </w:rPr>
        <w:t xml:space="preserve"> consta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w:t>
      </w:r>
      <w:proofErr w:type="spellStart"/>
      <w:r w:rsidR="00967EAE" w:rsidRPr="0090016A">
        <w:rPr>
          <w:rFonts w:ascii="Times New Roman" w:hAnsi="Times New Roman"/>
          <w:sz w:val="23"/>
          <w:szCs w:val="23"/>
          <w:lang w:val="es-ES"/>
        </w:rPr>
        <w:t>datele</w:t>
      </w:r>
      <w:proofErr w:type="spellEnd"/>
      <w:r w:rsidR="00967EAE" w:rsidRPr="0090016A">
        <w:rPr>
          <w:rFonts w:ascii="Times New Roman" w:hAnsi="Times New Roman"/>
          <w:sz w:val="23"/>
          <w:szCs w:val="23"/>
          <w:lang w:val="es-ES"/>
        </w:rPr>
        <w:t xml:space="preserve"> de identificare, </w:t>
      </w:r>
      <w:proofErr w:type="spellStart"/>
      <w:r w:rsidR="00967EAE" w:rsidRPr="0090016A">
        <w:rPr>
          <w:rFonts w:ascii="Times New Roman" w:hAnsi="Times New Roman"/>
          <w:sz w:val="23"/>
          <w:szCs w:val="23"/>
          <w:lang w:val="es-ES"/>
        </w:rPr>
        <w:t>poziție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angajator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număr</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telefon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adresa</w:t>
      </w:r>
      <w:proofErr w:type="spellEnd"/>
      <w:r w:rsidR="00967EAE" w:rsidRPr="0090016A">
        <w:rPr>
          <w:rFonts w:ascii="Times New Roman" w:hAnsi="Times New Roman"/>
          <w:sz w:val="23"/>
          <w:szCs w:val="23"/>
          <w:lang w:val="es-ES"/>
        </w:rPr>
        <w:t xml:space="preserve"> de email a </w:t>
      </w:r>
      <w:proofErr w:type="spellStart"/>
      <w:r w:rsidR="00967EAE" w:rsidRPr="0090016A">
        <w:rPr>
          <w:rFonts w:ascii="Times New Roman" w:hAnsi="Times New Roman"/>
          <w:sz w:val="23"/>
          <w:szCs w:val="23"/>
          <w:lang w:val="es-ES"/>
        </w:rPr>
        <w:t>angajaților</w:t>
      </w:r>
      <w:proofErr w:type="spellEnd"/>
      <w:r w:rsidR="00967EAE" w:rsidRPr="0090016A">
        <w:rPr>
          <w:rFonts w:ascii="Times New Roman" w:hAnsi="Times New Roman"/>
          <w:sz w:val="23"/>
          <w:szCs w:val="23"/>
          <w:lang w:val="es-ES"/>
        </w:rPr>
        <w:t>/</w:t>
      </w:r>
      <w:proofErr w:type="spellStart"/>
      <w:r w:rsidR="00967EAE" w:rsidRPr="0090016A">
        <w:rPr>
          <w:rFonts w:ascii="Times New Roman" w:hAnsi="Times New Roman"/>
          <w:sz w:val="23"/>
          <w:szCs w:val="23"/>
          <w:lang w:val="es-ES"/>
        </w:rPr>
        <w:t>reprezentanților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legali</w:t>
      </w:r>
      <w:proofErr w:type="spellEnd"/>
      <w:r w:rsidR="00967EAE" w:rsidRPr="0090016A">
        <w:rPr>
          <w:rFonts w:ascii="Times New Roman" w:hAnsi="Times New Roman"/>
          <w:sz w:val="23"/>
          <w:szCs w:val="23"/>
          <w:lang w:val="es-ES"/>
        </w:rPr>
        <w:t>].</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evitarea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oricărui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dubiu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iau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cunoștință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convin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determine,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mod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independent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scopul</w:t>
      </w:r>
      <w:proofErr w:type="spellEnd"/>
      <w:r w:rsidR="00967EAE" w:rsidRPr="0090016A">
        <w:rPr>
          <w:rFonts w:ascii="Times New Roman" w:hAnsi="Times New Roman"/>
          <w:sz w:val="23"/>
          <w:szCs w:val="23"/>
          <w:lang w:val="es-ES"/>
        </w:rPr>
        <w:t>/</w:t>
      </w:r>
      <w:proofErr w:type="spellStart"/>
      <w:r w:rsidR="00967EAE" w:rsidRPr="0090016A">
        <w:rPr>
          <w:rFonts w:ascii="Times New Roman" w:hAnsi="Times New Roman"/>
          <w:sz w:val="23"/>
          <w:szCs w:val="23"/>
          <w:lang w:val="es-ES"/>
        </w:rPr>
        <w:t>scopurile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mijloacele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prelucrare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Mai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precis</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convin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confirmă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acționeze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operatori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asociați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fie </w:t>
      </w:r>
      <w:proofErr w:type="spellStart"/>
      <w:r w:rsidR="00967EAE" w:rsidRPr="0090016A">
        <w:rPr>
          <w:rFonts w:ascii="Times New Roman" w:hAnsi="Times New Roman"/>
          <w:sz w:val="23"/>
          <w:szCs w:val="23"/>
          <w:lang w:val="es-ES"/>
        </w:rPr>
        <w:t>într</w:t>
      </w:r>
      <w:proofErr w:type="spellEnd"/>
      <w:r w:rsidR="00967EAE" w:rsidRPr="0090016A">
        <w:rPr>
          <w:rFonts w:ascii="Times New Roman" w:hAnsi="Times New Roman"/>
          <w:sz w:val="23"/>
          <w:szCs w:val="23"/>
          <w:lang w:val="es-ES"/>
        </w:rPr>
        <w:t xml:space="preserve">-o </w:t>
      </w:r>
      <w:proofErr w:type="spellStart"/>
      <w:r w:rsidR="00967EAE" w:rsidRPr="0090016A">
        <w:rPr>
          <w:rFonts w:ascii="Times New Roman" w:hAnsi="Times New Roman"/>
          <w:sz w:val="23"/>
          <w:szCs w:val="23"/>
          <w:lang w:val="es-ES"/>
        </w:rPr>
        <w:t>relație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tip</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operator-persoană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împuternicită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t xml:space="preserve">de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acționând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de date </w:t>
      </w:r>
      <w:proofErr w:type="spellStart"/>
      <w:r w:rsidR="00967EAE" w:rsidRPr="0090016A">
        <w:rPr>
          <w:rFonts w:ascii="Times New Roman" w:hAnsi="Times New Roman"/>
          <w:sz w:val="23"/>
          <w:szCs w:val="23"/>
          <w:lang w:val="es-ES"/>
        </w:rPr>
        <w:t>independent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propria</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prelucrare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niciuna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acceptă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vreo</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răspundere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încălcare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către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cealaltă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legislației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aplicabile</w:t>
      </w:r>
      <w:proofErr w:type="spellEnd"/>
      <w:r w:rsidR="00967EAE" w:rsidRPr="0090016A">
        <w:rPr>
          <w:rFonts w:ascii="Times New Roman" w:hAnsi="Times New Roman"/>
          <w:sz w:val="23"/>
          <w:szCs w:val="23"/>
          <w:lang w:val="es-ES"/>
        </w:rPr>
        <w:t>.</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cazul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apar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circumstanțe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acționează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persoană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împuternicită</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celeilalte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asociat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împreună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cealaltă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Părțile</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obligă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încheie</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acord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obligatoriu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conformitate</w:t>
      </w:r>
      <w:proofErr w:type="spellEnd"/>
      <w:r w:rsidR="00967EAE" w:rsidRPr="0090016A">
        <w:rPr>
          <w:rFonts w:ascii="Times New Roman" w:hAnsi="Times New Roman"/>
          <w:sz w:val="23"/>
          <w:szCs w:val="23"/>
          <w:lang w:val="es-ES"/>
        </w:rPr>
        <w:t>.</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w:t>
      </w:r>
      <w:proofErr w:type="spellStart"/>
      <w:r w:rsidR="00967EAE" w:rsidRPr="0090016A">
        <w:rPr>
          <w:rFonts w:ascii="Times New Roman" w:hAnsi="Times New Roman"/>
          <w:sz w:val="23"/>
          <w:szCs w:val="23"/>
          <w:lang w:val="es-ES"/>
        </w:rPr>
        <w:t>Obligațiile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decurg</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capitol</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extind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asupra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oricăror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terțe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persoane</w:t>
      </w:r>
      <w:proofErr w:type="spellEnd"/>
      <w:r w:rsidR="00967EAE" w:rsidRPr="0090016A">
        <w:rPr>
          <w:rFonts w:ascii="Times New Roman" w:hAnsi="Times New Roman"/>
          <w:sz w:val="23"/>
          <w:szCs w:val="23"/>
          <w:lang w:val="es-ES"/>
        </w:rPr>
        <w:t xml:space="preserve"> de natura </w:t>
      </w:r>
      <w:proofErr w:type="spellStart"/>
      <w:r w:rsidR="00967EAE" w:rsidRPr="0090016A">
        <w:rPr>
          <w:rFonts w:ascii="Times New Roman" w:hAnsi="Times New Roman"/>
          <w:sz w:val="23"/>
          <w:szCs w:val="23"/>
          <w:lang w:val="es-ES"/>
        </w:rPr>
        <w:t>celor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prevăzute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Ajustarea</w:t>
      </w:r>
      <w:proofErr w:type="spellEnd"/>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preţului</w:t>
      </w:r>
      <w:proofErr w:type="spellEnd"/>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contractului</w:t>
      </w:r>
      <w:proofErr w:type="spellEnd"/>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Amendamente</w:t>
      </w:r>
      <w:proofErr w:type="spellEnd"/>
      <w:r w:rsidR="00967EAE" w:rsidRPr="0090016A">
        <w:rPr>
          <w:rFonts w:ascii="Times New Roman" w:hAnsi="Times New Roman"/>
          <w:b/>
          <w:bCs/>
          <w:sz w:val="23"/>
          <w:szCs w:val="23"/>
          <w:lang w:val="es-ES"/>
        </w:rPr>
        <w:t xml:space="preserv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Cesiunea</w:t>
      </w:r>
      <w:proofErr w:type="spellEnd"/>
      <w:r w:rsidR="00967EAE" w:rsidRPr="0090016A">
        <w:rPr>
          <w:rFonts w:ascii="Times New Roman" w:hAnsi="Times New Roman"/>
          <w:b/>
          <w:bCs/>
          <w:sz w:val="23"/>
          <w:szCs w:val="23"/>
          <w:lang w:val="es-ES"/>
        </w:rPr>
        <w:t xml:space="preserve">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7EC5E7D1"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F72A0C">
        <w:rPr>
          <w:rFonts w:ascii="Times New Roman" w:hAnsi="Times New Roman"/>
          <w:color w:val="000000"/>
          <w:sz w:val="23"/>
          <w:szCs w:val="23"/>
        </w:rPr>
        <w:t>...........</w:t>
      </w:r>
    </w:p>
    <w:p w14:paraId="0771661C" w14:textId="0FA9D825" w:rsidR="00967EAE" w:rsidRPr="0090016A" w:rsidRDefault="006965C5" w:rsidP="00F72A0C">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F72A0C">
        <w:rPr>
          <w:rFonts w:ascii="Times New Roman" w:hAnsi="Times New Roman"/>
          <w:color w:val="000000"/>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proofErr w:type="spellStart"/>
      <w:r w:rsidRPr="0090016A">
        <w:rPr>
          <w:rFonts w:ascii="Times New Roman" w:hAnsi="Times New Roman"/>
          <w:sz w:val="23"/>
          <w:szCs w:val="23"/>
          <w:lang w:val="es-ES"/>
        </w:rPr>
        <w:t>Mașina</w:t>
      </w:r>
      <w:proofErr w:type="spellEnd"/>
      <w:r w:rsidRPr="0090016A">
        <w:rPr>
          <w:rFonts w:ascii="Times New Roman" w:hAnsi="Times New Roman"/>
          <w:sz w:val="23"/>
          <w:szCs w:val="23"/>
          <w:lang w:val="es-ES"/>
        </w:rPr>
        <w:t xml:space="preserve"> de </w:t>
      </w:r>
      <w:proofErr w:type="spellStart"/>
      <w:r w:rsidRPr="0090016A">
        <w:rPr>
          <w:rFonts w:ascii="Times New Roman" w:hAnsi="Times New Roman"/>
          <w:sz w:val="23"/>
          <w:szCs w:val="23"/>
          <w:lang w:val="es-ES"/>
        </w:rPr>
        <w:t>Pâine</w:t>
      </w:r>
      <w:proofErr w:type="spellEnd"/>
      <w:r w:rsidRPr="0090016A">
        <w:rPr>
          <w:rFonts w:ascii="Times New Roman" w:hAnsi="Times New Roman"/>
          <w:sz w:val="23"/>
          <w:szCs w:val="23"/>
          <w:lang w:val="es-ES"/>
        </w:rPr>
        <w:t xml:space="preserve">, </w:t>
      </w:r>
      <w:proofErr w:type="spellStart"/>
      <w:r w:rsidRPr="0090016A">
        <w:rPr>
          <w:rFonts w:ascii="Times New Roman" w:hAnsi="Times New Roman"/>
          <w:sz w:val="23"/>
          <w:szCs w:val="23"/>
          <w:lang w:val="es-ES"/>
        </w:rPr>
        <w:t>nr</w:t>
      </w:r>
      <w:proofErr w:type="spellEnd"/>
      <w:r w:rsidRPr="0090016A">
        <w:rPr>
          <w:rFonts w:ascii="Times New Roman" w:hAnsi="Times New Roman"/>
          <w:sz w:val="23"/>
          <w:szCs w:val="23"/>
          <w:lang w:val="es-ES"/>
        </w:rPr>
        <w:t xml:space="preserve">. 47, Sector 2, </w:t>
      </w:r>
      <w:proofErr w:type="spellStart"/>
      <w:r w:rsidRPr="0090016A">
        <w:rPr>
          <w:rFonts w:ascii="Times New Roman" w:hAnsi="Times New Roman"/>
          <w:sz w:val="23"/>
          <w:szCs w:val="23"/>
          <w:lang w:val="es-ES"/>
        </w:rPr>
        <w:t>București</w:t>
      </w:r>
      <w:proofErr w:type="spellEnd"/>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0558A46C"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Tănase Emil -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lastRenderedPageBreak/>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C3E58" w14:textId="77777777" w:rsidR="00231D83" w:rsidRDefault="00231D83" w:rsidP="00C30DE9">
      <w:pPr>
        <w:spacing w:after="0" w:line="240" w:lineRule="auto"/>
      </w:pPr>
      <w:r>
        <w:separator/>
      </w:r>
    </w:p>
  </w:endnote>
  <w:endnote w:type="continuationSeparator" w:id="0">
    <w:p w14:paraId="13D67807" w14:textId="77777777" w:rsidR="00231D83" w:rsidRDefault="00231D83"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06410C6E" w:rsidR="009F30FC" w:rsidRPr="00DD7A43" w:rsidRDefault="009F30FC" w:rsidP="00DD7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DD7A43" w:rsidRDefault="009F30FC" w:rsidP="00DD7A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80FA3" w14:textId="77777777" w:rsidR="00DD7A43" w:rsidRDefault="00DD7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AAB4D" w14:textId="77777777" w:rsidR="00231D83" w:rsidRDefault="00231D83" w:rsidP="00C30DE9">
      <w:pPr>
        <w:spacing w:after="0" w:line="240" w:lineRule="auto"/>
      </w:pPr>
      <w:r>
        <w:separator/>
      </w:r>
    </w:p>
  </w:footnote>
  <w:footnote w:type="continuationSeparator" w:id="0">
    <w:p w14:paraId="1CFE6A0C" w14:textId="77777777" w:rsidR="00231D83" w:rsidRDefault="00231D83"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DD7A43" w:rsidRDefault="009F30FC" w:rsidP="00DD7A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A7436" w14:textId="77777777" w:rsidR="00DD7A43" w:rsidRDefault="00DD7A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B394F" w14:textId="77777777" w:rsidR="00DD7A43" w:rsidRDefault="00DD7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2EF376C"/>
    <w:multiLevelType w:val="multilevel"/>
    <w:tmpl w:val="D1DC741E"/>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5"/>
  </w:num>
  <w:num w:numId="5">
    <w:abstractNumId w:val="4"/>
  </w:num>
  <w:num w:numId="6">
    <w:abstractNumId w:val="22"/>
  </w:num>
  <w:num w:numId="7">
    <w:abstractNumId w:val="14"/>
  </w:num>
  <w:num w:numId="8">
    <w:abstractNumId w:val="20"/>
  </w:num>
  <w:num w:numId="9">
    <w:abstractNumId w:val="18"/>
  </w:num>
  <w:num w:numId="10">
    <w:abstractNumId w:val="16"/>
  </w:num>
  <w:num w:numId="11">
    <w:abstractNumId w:val="23"/>
  </w:num>
  <w:num w:numId="12">
    <w:abstractNumId w:val="11"/>
  </w:num>
  <w:num w:numId="13">
    <w:abstractNumId w:val="8"/>
  </w:num>
  <w:num w:numId="14">
    <w:abstractNumId w:val="19"/>
  </w:num>
  <w:num w:numId="15">
    <w:abstractNumId w:val="9"/>
  </w:num>
  <w:num w:numId="16">
    <w:abstractNumId w:val="2"/>
  </w:num>
  <w:num w:numId="17">
    <w:abstractNumId w:val="1"/>
  </w:num>
  <w:num w:numId="18">
    <w:abstractNumId w:val="12"/>
  </w:num>
  <w:num w:numId="19">
    <w:abstractNumId w:val="25"/>
  </w:num>
  <w:num w:numId="20">
    <w:abstractNumId w:val="21"/>
  </w:num>
  <w:num w:numId="21">
    <w:abstractNumId w:val="10"/>
  </w:num>
  <w:num w:numId="22">
    <w:abstractNumId w:val="6"/>
  </w:num>
  <w:num w:numId="23">
    <w:abstractNumId w:val="0"/>
  </w:num>
  <w:num w:numId="24">
    <w:abstractNumId w:val="24"/>
  </w:num>
  <w:num w:numId="25">
    <w:abstractNumId w:val="3"/>
  </w:num>
  <w:num w:numId="2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0E1"/>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21C"/>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8FE"/>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1D83"/>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BF7"/>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596"/>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B7F6C"/>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0F1"/>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14B"/>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D7A43"/>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540"/>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170"/>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A0C"/>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250C-C9EB-430D-8777-F36EEF4A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6420</Words>
  <Characters>37240</Characters>
  <Application>Microsoft Office Word</Application>
  <DocSecurity>0</DocSecurity>
  <Lines>310</Lines>
  <Paragraphs>87</Paragraphs>
  <ScaleCrop>false</ScaleCrop>
  <Company/>
  <LinksUpToDate>false</LinksUpToDate>
  <CharactersWithSpaces>43573</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2023-03-28T11:50:00Z</dcterms:created>
  <dcterms:modified xsi:type="dcterms:W3CDTF">2023-03-28T13:03:00Z</dcterms:modified>
</cp:coreProperties>
</file>