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A412" w14:textId="77777777" w:rsidR="001E4164" w:rsidRPr="0029695B" w:rsidRDefault="001E4164" w:rsidP="00A36AA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1428F96B" w14:textId="77777777" w:rsidR="001E4164" w:rsidRPr="0029695B" w:rsidRDefault="001E4164" w:rsidP="00A36AA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01.08.2025</w:t>
      </w:r>
    </w:p>
    <w:p w14:paraId="02F53E2A" w14:textId="77777777" w:rsidR="001E4164" w:rsidRPr="0029695B" w:rsidRDefault="001E4164" w:rsidP="00A36AA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29695B">
        <w:rPr>
          <w:color w:val="000000" w:themeColor="text1"/>
        </w:rPr>
        <w:t xml:space="preserve"> </w:t>
      </w: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7 din 23.04.2025</w:t>
      </w:r>
    </w:p>
    <w:p w14:paraId="155E7EE4" w14:textId="77777777" w:rsidR="001E4164" w:rsidRPr="0029695B" w:rsidRDefault="001E4164" w:rsidP="00A36AA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6536BC0E" w14:textId="77777777" w:rsidR="001E4164" w:rsidRPr="0029695B" w:rsidRDefault="001E4164" w:rsidP="00A36AA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7FD96403" w14:textId="77777777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51DEBBC1" w14:textId="77777777" w:rsidR="001E4164" w:rsidRPr="0029695B" w:rsidRDefault="001E4164" w:rsidP="00A36AA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2969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68D5ADE8" w14:textId="77777777" w:rsidR="001E4164" w:rsidRPr="0029695B" w:rsidRDefault="001E4164" w:rsidP="00A36AA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687D9278" w14:textId="17D0E63D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</w:pPr>
      <w:r w:rsidRPr="0029695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B. UNIVERSAL SERVICE 95 S.R.L., 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cu sediul în </w: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telefon </w: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adresă e-mail: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iCs/>
            <w:noProof/>
            <w:color w:val="000000" w:themeColor="text1"/>
            <w:sz w:val="24"/>
            <w:szCs w:val="24"/>
            <w:u w:val="none"/>
            <w:lang w:val="it-IT" w:eastAsia="ro-RO"/>
          </w:rPr>
          <w:t>...............</w:t>
        </w:r>
      </w:hyperlink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Cod unic de identificare </w: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înmatriculată la Oficiul Registrului Comerţului sub numărul </w: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Cont Trezorerie </w:t>
      </w:r>
      <w:r w:rsidR="004D1AC8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deschis la Trezoreria </w:t>
      </w:r>
      <w:r w:rsidR="004D1AC8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reprezentata prin </w:t>
      </w:r>
      <w:r w:rsidR="004D1AC8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având funcția de </w:t>
      </w:r>
      <w:r w:rsidR="004D1AC8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</w:t>
      </w:r>
      <w:r w:rsidRPr="0029695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, în calitate de prestator, pe de altă parte.</w:t>
      </w:r>
    </w:p>
    <w:p w14:paraId="3468E2BB" w14:textId="77777777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6CEF14E" w14:textId="77777777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3C0C2137" w14:textId="77777777" w:rsidR="001E4164" w:rsidRPr="0029695B" w:rsidRDefault="001E4164" w:rsidP="00A36AA7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29695B">
        <w:rPr>
          <w:color w:val="000000" w:themeColor="text1"/>
          <w:sz w:val="24"/>
          <w:szCs w:val="24"/>
        </w:rPr>
        <w:t xml:space="preserve"> </w:t>
      </w: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29695B">
        <w:rPr>
          <w:color w:val="000000" w:themeColor="text1"/>
          <w:sz w:val="24"/>
          <w:szCs w:val="24"/>
        </w:rPr>
        <w:t xml:space="preserve">, </w:t>
      </w: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386319B1" w14:textId="77777777" w:rsidR="001E4164" w:rsidRPr="0029695B" w:rsidRDefault="001E4164" w:rsidP="00A36AA7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4CDD658E" w14:textId="77777777" w:rsidR="001E4164" w:rsidRPr="0029695B" w:rsidRDefault="001E4164" w:rsidP="00A36A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29695B">
        <w:rPr>
          <w:color w:val="000000" w:themeColor="text1"/>
        </w:rPr>
        <w:t xml:space="preserve"> </w:t>
      </w: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1536/29.07.2025;</w:t>
      </w:r>
    </w:p>
    <w:p w14:paraId="648DD2A6" w14:textId="77777777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7 din 23.04.2025, având ca obiect </w:t>
      </w:r>
      <w:bookmarkStart w:id="3" w:name="_Hlk196303933"/>
      <w:r w:rsidRPr="0029695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mentenanță pentru sistemele de detecție și alarmare la incediu și control acces</w:t>
      </w:r>
      <w:r w:rsidRPr="0029695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296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2FD710E2" w14:textId="77777777" w:rsidR="001E4164" w:rsidRPr="0029695B" w:rsidRDefault="001E4164" w:rsidP="00A36A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68AF7B20" w14:textId="77777777" w:rsidR="001E4164" w:rsidRPr="0029695B" w:rsidRDefault="001E4164" w:rsidP="00A36A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29695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29695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2F137057" w14:textId="77777777" w:rsidR="001E4164" w:rsidRPr="0029695B" w:rsidRDefault="001E4164" w:rsidP="00A36AA7">
      <w:pPr>
        <w:spacing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6.1.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</w:t>
      </w:r>
      <w:r w:rsidRPr="002969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26.040,00 lei exclusiv TVA</w:t>
      </w:r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care se adaugă </w:t>
      </w:r>
      <w:r w:rsidRPr="002969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TVA 5.338,20 lei, </w:t>
      </w:r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reprezentând </w:t>
      </w:r>
      <w:r w:rsidRPr="002969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31.378,20 </w:t>
      </w:r>
      <w:r w:rsidRPr="002969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lei inclusiv TVA</w:t>
      </w:r>
      <w:r w:rsidRPr="0029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 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17C97ACC" w14:textId="77777777" w:rsidR="001E4164" w:rsidRPr="0029695B" w:rsidRDefault="001E4164" w:rsidP="00A36AA7">
      <w:pPr>
        <w:spacing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26.040,00 lei exclusiv TVA, la care se adaugă TVA 4.947,60 lei </w:t>
      </w:r>
      <w:r w:rsidRPr="0029695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30.987,60 lei inclusiv TVA (mai 2025 – aprilie 2026);</w:t>
      </w:r>
    </w:p>
    <w:p w14:paraId="277898A3" w14:textId="77777777" w:rsidR="001E4164" w:rsidRPr="0029695B" w:rsidRDefault="001E4164" w:rsidP="00A36AA7">
      <w:pPr>
        <w:spacing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Facturi emise</w:t>
      </w: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până la 31.07.2025:</w:t>
      </w:r>
      <w:r w:rsidRPr="0029695B">
        <w:rPr>
          <w:color w:val="000000" w:themeColor="text1"/>
          <w:sz w:val="24"/>
          <w:szCs w:val="24"/>
        </w:rPr>
        <w:t xml:space="preserve"> 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6.510,00 lei exclusiv TVA, la care se adaugă TVA 1.236,90 lei </w:t>
      </w:r>
      <w:r w:rsidRPr="0029695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7.746,90 lei inclusiv TVA (mai 2025 – iulie 2025);</w:t>
      </w:r>
    </w:p>
    <w:p w14:paraId="5884655A" w14:textId="77777777" w:rsidR="001E4164" w:rsidRPr="0029695B" w:rsidRDefault="001E4164" w:rsidP="00A36AA7">
      <w:pPr>
        <w:spacing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 de plată: 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19.530,00 lei exclusiv TVA, la care se adaugă TVA 4.101,30 lei </w:t>
      </w:r>
      <w:r w:rsidRPr="0029695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29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23.631,30 lei inclusiv TVA (august 2025 - aprilie 2026), după cum urmează:</w:t>
      </w:r>
    </w:p>
    <w:p w14:paraId="6A311A1D" w14:textId="77777777" w:rsidR="001E4164" w:rsidRPr="0029695B" w:rsidRDefault="001E4164" w:rsidP="001E4164">
      <w:pPr>
        <w:pStyle w:val="Listparagraf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lang w:val="it-IT" w:eastAsia="ro-RO"/>
        </w:rPr>
      </w:pPr>
      <w:r w:rsidRPr="0029695B">
        <w:rPr>
          <w:rFonts w:ascii="Times New Roman" w:hAnsi="Times New Roman"/>
          <w:b/>
          <w:bCs/>
          <w:color w:val="000000" w:themeColor="text1"/>
          <w:lang w:val="it-IT" w:eastAsia="ro-RO"/>
        </w:rPr>
        <w:t>Pentru anul 2025</w:t>
      </w:r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în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perioada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mai-decembrie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val="it-IT" w:eastAsia="ro-RO"/>
        </w:rPr>
        <w:t>:</w:t>
      </w:r>
    </w:p>
    <w:tbl>
      <w:tblPr>
        <w:tblW w:w="10625" w:type="dxa"/>
        <w:tblInd w:w="-147" w:type="dxa"/>
        <w:tblLook w:val="04A0" w:firstRow="1" w:lastRow="0" w:firstColumn="1" w:lastColumn="0" w:noHBand="0" w:noVBand="1"/>
      </w:tblPr>
      <w:tblGrid>
        <w:gridCol w:w="571"/>
        <w:gridCol w:w="1834"/>
        <w:gridCol w:w="3827"/>
        <w:gridCol w:w="634"/>
        <w:gridCol w:w="950"/>
        <w:gridCol w:w="1535"/>
        <w:gridCol w:w="1274"/>
      </w:tblGrid>
      <w:tr w:rsidR="001E4164" w:rsidRPr="0029695B" w14:paraId="24996EF2" w14:textId="77777777" w:rsidTr="005B196E">
        <w:trPr>
          <w:trHeight w:val="6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C45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Nr. Crt.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315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Denumire serviciu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1BA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U.M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7E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Cantiate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587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Preț unitar, lei fără TVA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8B2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valoare, lei fără TVA</w:t>
            </w:r>
          </w:p>
        </w:tc>
      </w:tr>
      <w:tr w:rsidR="001E4164" w:rsidRPr="0029695B" w14:paraId="58325E4E" w14:textId="77777777" w:rsidTr="005B196E">
        <w:trPr>
          <w:trHeight w:val="4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FA5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0A0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servicii de mentenanță pentru sistemele de detecție și alarmare la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incediu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537A" w14:textId="77777777" w:rsidR="001E4164" w:rsidRPr="0029695B" w:rsidRDefault="001E4164" w:rsidP="005B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Masina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Paine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nr.47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Schrack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31A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BUC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E42D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6165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51B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7.920,00</w:t>
            </w:r>
          </w:p>
        </w:tc>
      </w:tr>
      <w:tr w:rsidR="001E4164" w:rsidRPr="0029695B" w14:paraId="37C6E3BC" w14:textId="77777777" w:rsidTr="005B196E">
        <w:trPr>
          <w:trHeight w:val="3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BB57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CCC0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AEA" w14:textId="77777777" w:rsidR="001E4164" w:rsidRPr="0029695B" w:rsidRDefault="001E4164" w:rsidP="005B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Obor- Hala Terminal (sistem NSC Fire) 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82B0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987F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EBA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D6A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2.640,00</w:t>
            </w:r>
          </w:p>
        </w:tc>
      </w:tr>
      <w:tr w:rsidR="001E4164" w:rsidRPr="0029695B" w14:paraId="7EBA4272" w14:textId="77777777" w:rsidTr="005B196E">
        <w:trPr>
          <w:trHeight w:val="3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702C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FC3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545" w14:textId="77777777" w:rsidR="001E4164" w:rsidRPr="0029695B" w:rsidRDefault="001E4164" w:rsidP="005B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Colentina-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Cremenița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(sistem Global Fire)  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D234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026F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B98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D605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3.600,00</w:t>
            </w:r>
          </w:p>
        </w:tc>
      </w:tr>
      <w:tr w:rsidR="001E4164" w:rsidRPr="0029695B" w14:paraId="61DA00CB" w14:textId="77777777" w:rsidTr="005B196E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1E4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Subtotal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1, lei fără TVA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6FBA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14.160,00</w:t>
            </w:r>
          </w:p>
        </w:tc>
      </w:tr>
      <w:tr w:rsidR="001E4164" w:rsidRPr="0029695B" w14:paraId="39E707DF" w14:textId="77777777" w:rsidTr="005B196E">
        <w:trPr>
          <w:trHeight w:val="417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DD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34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servicii de mentenanță pentru </w:t>
            </w: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sistemele de control acces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239" w14:textId="77777777" w:rsidR="001E4164" w:rsidRPr="0029695B" w:rsidRDefault="001E4164" w:rsidP="005B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Obor- Hala Terminal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Hikvision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KL604T)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93A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BUC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0BB6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68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5F0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1.200,00</w:t>
            </w:r>
          </w:p>
        </w:tc>
      </w:tr>
      <w:tr w:rsidR="001E4164" w:rsidRPr="0029695B" w14:paraId="0AC4DA5F" w14:textId="77777777" w:rsidTr="005B196E">
        <w:trPr>
          <w:trHeight w:val="382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CE20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92D8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2DA0" w14:textId="77777777" w:rsidR="001E4164" w:rsidRPr="0029695B" w:rsidRDefault="001E4164" w:rsidP="005B1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Masina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Paine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nr.47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Hikvision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KL604T) 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4611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C63A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6EC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buc x 125,00 = 250,00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DC2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2.000,00</w:t>
            </w:r>
          </w:p>
        </w:tc>
      </w:tr>
      <w:tr w:rsidR="001E4164" w:rsidRPr="0029695B" w14:paraId="1FCAE038" w14:textId="77777777" w:rsidTr="005B196E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361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Subtotal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2, lei fără TVA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5EC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3.200,00</w:t>
            </w:r>
          </w:p>
        </w:tc>
      </w:tr>
      <w:tr w:rsidR="001E4164" w:rsidRPr="0029695B" w14:paraId="23E74328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83E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lei exclusiv TVA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5023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17.360,00</w:t>
            </w:r>
          </w:p>
        </w:tc>
      </w:tr>
      <w:tr w:rsidR="001E4164" w:rsidRPr="0029695B" w14:paraId="25CA024A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137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19% </w:t>
            </w:r>
            <w:r w:rsidRPr="0029695B">
              <w:rPr>
                <w:rFonts w:ascii="Times New Roman" w:eastAsia="Times New Roman" w:hAnsi="Times New Roman" w:cs="Times New Roman"/>
                <w:color w:val="000000" w:themeColor="text1"/>
              </w:rPr>
              <w:t>(mai 2025 – iulie 2025)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14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1.236,90</w:t>
            </w:r>
          </w:p>
        </w:tc>
      </w:tr>
      <w:tr w:rsidR="001E4164" w:rsidRPr="0029695B" w14:paraId="7D4AFB29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94C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29695B">
              <w:rPr>
                <w:rFonts w:ascii="Times New Roman" w:eastAsia="Times New Roman" w:hAnsi="Times New Roman" w:cs="Times New Roman"/>
                <w:color w:val="000000" w:themeColor="text1"/>
              </w:rPr>
              <w:t>(august 2025 - decembrie 2025)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12C5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2.278,50</w:t>
            </w:r>
          </w:p>
        </w:tc>
      </w:tr>
      <w:tr w:rsidR="001E4164" w:rsidRPr="0029695B" w14:paraId="1D5E2A8F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4DC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lei inclusiv TVA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FB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20.875,40</w:t>
            </w:r>
          </w:p>
        </w:tc>
      </w:tr>
    </w:tbl>
    <w:p w14:paraId="409380F2" w14:textId="77777777" w:rsidR="001E4164" w:rsidRPr="0029695B" w:rsidRDefault="001E4164" w:rsidP="001E41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75C6AB50" w14:textId="77777777" w:rsidR="001E4164" w:rsidRPr="0029695B" w:rsidRDefault="001E4164" w:rsidP="001E4164">
      <w:pPr>
        <w:pStyle w:val="Listparagraf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lang w:val="it-IT" w:eastAsia="ro-RO"/>
        </w:rPr>
      </w:pPr>
      <w:r w:rsidRPr="0029695B">
        <w:rPr>
          <w:rFonts w:ascii="Times New Roman" w:hAnsi="Times New Roman"/>
          <w:b/>
          <w:bCs/>
          <w:color w:val="000000" w:themeColor="text1"/>
          <w:lang w:val="it-IT" w:eastAsia="ro-RO"/>
        </w:rPr>
        <w:t>Pentru anul 2026</w:t>
      </w:r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în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perioada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 xml:space="preserve"> </w:t>
      </w:r>
      <w:proofErr w:type="spellStart"/>
      <w:r w:rsidRPr="0029695B">
        <w:rPr>
          <w:rFonts w:ascii="Times New Roman" w:hAnsi="Times New Roman"/>
          <w:b/>
          <w:bCs/>
          <w:color w:val="000000" w:themeColor="text1"/>
          <w:lang w:eastAsia="ro-RO"/>
        </w:rPr>
        <w:t>ianuarie-aprilie</w:t>
      </w:r>
      <w:proofErr w:type="spellEnd"/>
      <w:r w:rsidRPr="0029695B">
        <w:rPr>
          <w:rFonts w:ascii="Times New Roman" w:hAnsi="Times New Roman"/>
          <w:b/>
          <w:bCs/>
          <w:color w:val="000000" w:themeColor="text1"/>
          <w:lang w:val="it-IT" w:eastAsia="ro-RO"/>
        </w:rPr>
        <w:t>:</w:t>
      </w: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566"/>
        <w:gridCol w:w="1844"/>
        <w:gridCol w:w="3828"/>
        <w:gridCol w:w="628"/>
        <w:gridCol w:w="950"/>
        <w:gridCol w:w="1398"/>
        <w:gridCol w:w="1418"/>
      </w:tblGrid>
      <w:tr w:rsidR="001E4164" w:rsidRPr="0029695B" w14:paraId="71E53339" w14:textId="77777777" w:rsidTr="005B196E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F60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Nr. Crt.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C4B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Denumire serviciu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ACF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U.M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6FF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Cantiate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AF3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Preț unitar, lei fără 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F36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valoare, lei fără TVA</w:t>
            </w:r>
          </w:p>
        </w:tc>
      </w:tr>
      <w:tr w:rsidR="001E4164" w:rsidRPr="0029695B" w14:paraId="7BED07D1" w14:textId="77777777" w:rsidTr="005B196E">
        <w:trPr>
          <w:trHeight w:val="3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C5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32F6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servicii de mentenanță pentru sistemele de detecție și alarmare la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incediu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5C8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Masina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Paine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nr.47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Schrack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38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BUC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809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F47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E7F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3.960,00</w:t>
            </w:r>
          </w:p>
        </w:tc>
      </w:tr>
      <w:tr w:rsidR="001E4164" w:rsidRPr="0029695B" w14:paraId="1AFEB8C1" w14:textId="77777777" w:rsidTr="005B196E">
        <w:trPr>
          <w:trHeight w:val="34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DC87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DC6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1988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Obor- Hala Terminal (sistem NSC Fire) 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3D83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B2E3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8AC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B238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1.320,00</w:t>
            </w:r>
          </w:p>
        </w:tc>
      </w:tr>
      <w:tr w:rsidR="001E4164" w:rsidRPr="0029695B" w14:paraId="2E7DDC5D" w14:textId="77777777" w:rsidTr="005B196E">
        <w:trPr>
          <w:trHeight w:val="30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69C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7FD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2C2A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Colentina-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Cremenița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(sistem Global Fire)  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3D7E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FCE4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82CF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F9B9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1.800,00</w:t>
            </w:r>
          </w:p>
        </w:tc>
      </w:tr>
      <w:tr w:rsidR="001E4164" w:rsidRPr="0029695B" w14:paraId="64061D9F" w14:textId="77777777" w:rsidTr="005B196E">
        <w:trPr>
          <w:trHeight w:val="30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B16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Subtotal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1, lei fără 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9409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7.080,00</w:t>
            </w:r>
          </w:p>
        </w:tc>
      </w:tr>
      <w:tr w:rsidR="001E4164" w:rsidRPr="0029695B" w14:paraId="67347E72" w14:textId="77777777" w:rsidTr="005B196E">
        <w:trPr>
          <w:trHeight w:val="3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C7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988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servicii de mentenanță pentru sistemele de control acces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6142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Piaţa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Obor- Hala Terminal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Hikvision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KL604T)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C6D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BUC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75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BC0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D1C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1E4164" w:rsidRPr="0029695B" w14:paraId="09662984" w14:textId="77777777" w:rsidTr="005B196E">
        <w:trPr>
          <w:trHeight w:val="4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E3E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0C4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CCB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Locatia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Masina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Paine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nr.47 (sistem </w:t>
            </w: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Hikvision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KL604T) 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2634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640B" w14:textId="77777777" w:rsidR="001E4164" w:rsidRPr="0029695B" w:rsidRDefault="001E4164" w:rsidP="005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DAF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buc x 125,00 =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E21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1.000,00</w:t>
            </w:r>
          </w:p>
        </w:tc>
      </w:tr>
      <w:tr w:rsidR="001E4164" w:rsidRPr="0029695B" w14:paraId="6FBF0E3B" w14:textId="77777777" w:rsidTr="005B196E">
        <w:trPr>
          <w:trHeight w:val="30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3520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Subtotal</w:t>
            </w:r>
            <w:proofErr w:type="spellEnd"/>
            <w:r w:rsidRPr="002969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2, lei fără TVA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4677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1.600,00</w:t>
            </w:r>
          </w:p>
        </w:tc>
      </w:tr>
      <w:tr w:rsidR="001E4164" w:rsidRPr="0029695B" w14:paraId="146ED4CF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E6D2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lei exclusiv TVA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3A7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8.680,00</w:t>
            </w:r>
          </w:p>
        </w:tc>
      </w:tr>
      <w:tr w:rsidR="001E4164" w:rsidRPr="0029695B" w14:paraId="79F5B459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B57B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29695B">
              <w:rPr>
                <w:rFonts w:ascii="Times New Roman" w:eastAsia="Times New Roman" w:hAnsi="Times New Roman" w:cs="Times New Roman"/>
                <w:color w:val="000000" w:themeColor="text1"/>
              </w:rPr>
              <w:t>(ianuarie 2026 - aprilie 2026)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16EE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1.822,80</w:t>
            </w:r>
          </w:p>
        </w:tc>
      </w:tr>
      <w:tr w:rsidR="001E4164" w:rsidRPr="0029695B" w14:paraId="10A68051" w14:textId="77777777" w:rsidTr="005B196E">
        <w:trPr>
          <w:trHeight w:val="300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F54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lei inclusiv TVA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E33D" w14:textId="77777777" w:rsidR="001E4164" w:rsidRPr="0029695B" w:rsidRDefault="001E4164" w:rsidP="005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6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10.502,80</w:t>
            </w:r>
          </w:p>
        </w:tc>
      </w:tr>
    </w:tbl>
    <w:p w14:paraId="5E955F24" w14:textId="77777777" w:rsidR="001E4164" w:rsidRPr="0029695B" w:rsidRDefault="001E4164" w:rsidP="001E4164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6FDF5E" w14:textId="77777777" w:rsidR="001E4164" w:rsidRPr="0029695B" w:rsidRDefault="001E4164" w:rsidP="001E41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5D8D339" w14:textId="77777777" w:rsidR="001E4164" w:rsidRPr="0029695B" w:rsidRDefault="001E4164" w:rsidP="001E41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29695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3A2BDC6B" w14:textId="77777777" w:rsidR="001E4164" w:rsidRPr="0029695B" w:rsidRDefault="001E4164" w:rsidP="001E416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3FB3BCE1" w14:textId="77777777" w:rsidR="001E4164" w:rsidRPr="0029695B" w:rsidRDefault="001E4164" w:rsidP="001E416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UNIVERSAL SERVICE 95 S.R.L.</w:t>
      </w:r>
    </w:p>
    <w:p w14:paraId="6D61CC91" w14:textId="77777777" w:rsidR="001E4164" w:rsidRPr="0029695B" w:rsidRDefault="001E4164" w:rsidP="001E416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ADMINISTRAREAPATRIMONIULUI                                                        ADMINISTRATOR                  </w:t>
      </w:r>
    </w:p>
    <w:p w14:paraId="5BF1C5CB" w14:textId="4935D7C1" w:rsidR="001E4164" w:rsidRPr="0029695B" w:rsidRDefault="001E4164" w:rsidP="001E416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      </w:t>
      </w:r>
    </w:p>
    <w:p w14:paraId="653DE4F8" w14:textId="77777777" w:rsidR="001E4164" w:rsidRPr="0029695B" w:rsidRDefault="001E4164" w:rsidP="001E416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29695B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4A87B465" w14:textId="77777777" w:rsidR="001E4164" w:rsidRPr="0029695B" w:rsidRDefault="001E4164" w:rsidP="001E4164">
      <w:pPr>
        <w:rPr>
          <w:color w:val="000000" w:themeColor="text1"/>
        </w:rPr>
      </w:pPr>
    </w:p>
    <w:p w14:paraId="532070DD" w14:textId="77777777" w:rsidR="001E4164" w:rsidRPr="0029695B" w:rsidRDefault="001E4164" w:rsidP="001E4164">
      <w:pPr>
        <w:rPr>
          <w:color w:val="000000" w:themeColor="text1"/>
        </w:rPr>
      </w:pPr>
    </w:p>
    <w:p w14:paraId="3EB30E2C" w14:textId="77777777" w:rsidR="009F490D" w:rsidRDefault="009F490D"/>
    <w:sectPr w:rsidR="009F490D" w:rsidSect="00C456E7">
      <w:pgSz w:w="11906" w:h="16838" w:code="9"/>
      <w:pgMar w:top="851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DC0B" w14:textId="77777777" w:rsidR="00023BB7" w:rsidRDefault="00023BB7" w:rsidP="00023BB7">
      <w:pPr>
        <w:spacing w:after="0" w:line="240" w:lineRule="auto"/>
      </w:pPr>
      <w:r>
        <w:separator/>
      </w:r>
    </w:p>
  </w:endnote>
  <w:endnote w:type="continuationSeparator" w:id="0">
    <w:p w14:paraId="6C95E9B1" w14:textId="77777777" w:rsidR="00023BB7" w:rsidRDefault="00023BB7" w:rsidP="0002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EDB4" w14:textId="77777777" w:rsidR="00023BB7" w:rsidRDefault="00023BB7" w:rsidP="00023BB7">
      <w:pPr>
        <w:spacing w:after="0" w:line="240" w:lineRule="auto"/>
      </w:pPr>
      <w:r>
        <w:separator/>
      </w:r>
    </w:p>
  </w:footnote>
  <w:footnote w:type="continuationSeparator" w:id="0">
    <w:p w14:paraId="2BFC1236" w14:textId="77777777" w:rsidR="00023BB7" w:rsidRDefault="00023BB7" w:rsidP="0002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623E"/>
    <w:multiLevelType w:val="hybridMultilevel"/>
    <w:tmpl w:val="FDC88B0C"/>
    <w:lvl w:ilvl="0" w:tplc="040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E"/>
    <w:rsid w:val="00023BB7"/>
    <w:rsid w:val="00184E6F"/>
    <w:rsid w:val="001E4164"/>
    <w:rsid w:val="003231AE"/>
    <w:rsid w:val="004D1AC8"/>
    <w:rsid w:val="009F490D"/>
    <w:rsid w:val="00A36AA7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018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6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E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4164"/>
    <w:rPr>
      <w:lang w:val="ro-RO"/>
    </w:rPr>
  </w:style>
  <w:style w:type="character" w:customStyle="1" w:styleId="Headerorfooter">
    <w:name w:val="Header or footer_"/>
    <w:link w:val="Headerorfooter1"/>
    <w:uiPriority w:val="99"/>
    <w:rsid w:val="001E416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1E41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1E416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1E4164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1E4164"/>
    <w:pPr>
      <w:ind w:left="720"/>
      <w:contextualSpacing/>
    </w:pPr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02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3BB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@universal-servic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2026-01-16T09:21:00Z</dcterms:created>
  <dcterms:modified xsi:type="dcterms:W3CDTF">2026-01-16T09:21:00Z</dcterms:modified>
</cp:coreProperties>
</file>