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4E4E" w14:textId="77777777" w:rsidR="000379D9" w:rsidRPr="00B47DB1" w:rsidRDefault="000379D9" w:rsidP="000379D9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din nr. 1 01.08.2025</w:t>
      </w:r>
    </w:p>
    <w:p w14:paraId="3B3F09C3" w14:textId="77777777" w:rsidR="000379D9" w:rsidRPr="00B47DB1" w:rsidRDefault="000379D9" w:rsidP="000379D9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nr.</w:t>
      </w:r>
      <w:bookmarkEnd w:id="1"/>
      <w:r w:rsidRPr="00B47DB1">
        <w:rPr>
          <w:color w:val="000000" w:themeColor="text1"/>
          <w:sz w:val="23"/>
          <w:szCs w:val="23"/>
        </w:rPr>
        <w:t xml:space="preserve"> </w:t>
      </w:r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4 din 23.04.2025</w:t>
      </w:r>
    </w:p>
    <w:p w14:paraId="7C664864" w14:textId="77777777" w:rsidR="000379D9" w:rsidRPr="00B47DB1" w:rsidRDefault="000379D9" w:rsidP="000379D9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7AF41A43" w14:textId="77777777" w:rsidR="000379D9" w:rsidRPr="00B47DB1" w:rsidRDefault="000379D9" w:rsidP="000379D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  <w:bookmarkStart w:id="2" w:name="bookmark2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pe de o parte </w:t>
      </w:r>
    </w:p>
    <w:p w14:paraId="01A078F3" w14:textId="77777777" w:rsidR="000379D9" w:rsidRPr="00B47DB1" w:rsidRDefault="000379D9" w:rsidP="000379D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044CB874" w14:textId="77777777" w:rsidR="000379D9" w:rsidRPr="00B47DB1" w:rsidRDefault="000379D9" w:rsidP="000379D9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r w:rsidRPr="00B47DB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Bogdan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Alexandru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Gârbu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achzitor</w:t>
      </w:r>
      <w:proofErr w:type="spellEnd"/>
    </w:p>
    <w:p w14:paraId="0E4CFA22" w14:textId="57DD864A" w:rsidR="000379D9" w:rsidRPr="00B47DB1" w:rsidRDefault="000379D9" w:rsidP="000379D9">
      <w:pPr>
        <w:tabs>
          <w:tab w:val="left" w:pos="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eastAsia="ro-RO"/>
        </w:rPr>
      </w:pPr>
      <w:r w:rsidRPr="00B47DB1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  <w:t xml:space="preserve">B. SOCIETATEA NATIONALA DE INFORMATICA S.A., 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cu sediul în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..............,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  tel.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adresă e-mail </w:t>
      </w:r>
      <w:hyperlink r:id="rId7" w:history="1">
        <w:r w:rsidR="00C50B23">
          <w:rPr>
            <w:rStyle w:val="Hyperlink"/>
            <w:rFonts w:ascii="Times New Roman" w:eastAsia="Times New Roman" w:hAnsi="Times New Roman" w:cs="Times New Roman"/>
            <w:bCs/>
            <w:iCs/>
            <w:noProof/>
            <w:color w:val="000000" w:themeColor="text1"/>
            <w:sz w:val="23"/>
            <w:szCs w:val="23"/>
            <w:lang w:val="it-IT" w:eastAsia="ro-RO"/>
          </w:rPr>
          <w:t>...............</w:t>
        </w:r>
      </w:hyperlink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înregistrată la Registrul Comerţului sub numărul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cod fiscal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 cont Cont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deschis la Trezoreria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reprezentata prin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având funcția de </w:t>
      </w:r>
      <w:r w:rsidR="00C50B23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B47DB1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</w:t>
      </w:r>
      <w:r w:rsidRPr="00B47DB1">
        <w:rPr>
          <w:rFonts w:ascii="Times New Roman" w:eastAsia="Times New Roman" w:hAnsi="Times New Roman" w:cs="Times New Roman"/>
          <w:iCs/>
          <w:noProof/>
          <w:color w:val="000000" w:themeColor="text1"/>
          <w:sz w:val="23"/>
          <w:szCs w:val="23"/>
          <w:lang w:val="es-ES" w:eastAsia="ro-RO"/>
        </w:rPr>
        <w:t xml:space="preserve">în calitate de </w:t>
      </w:r>
      <w:r w:rsidRPr="00B47DB1"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es-ES" w:eastAsia="ro-RO"/>
        </w:rPr>
        <w:t>prestator</w:t>
      </w:r>
      <w:r w:rsidRPr="00B47DB1">
        <w:rPr>
          <w:rFonts w:ascii="Times New Roman" w:eastAsia="Times New Roman" w:hAnsi="Times New Roman" w:cs="Times New Roman"/>
          <w:iCs/>
          <w:noProof/>
          <w:color w:val="000000" w:themeColor="text1"/>
          <w:sz w:val="23"/>
          <w:szCs w:val="23"/>
          <w:lang w:val="es-ES" w:eastAsia="ro-RO"/>
        </w:rPr>
        <w:t>, pe de altă parte.</w:t>
      </w:r>
    </w:p>
    <w:p w14:paraId="3A24ADF8" w14:textId="77777777" w:rsidR="000379D9" w:rsidRPr="00B47DB1" w:rsidRDefault="000379D9" w:rsidP="000379D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2C32E5D5" w14:textId="77777777" w:rsidR="000379D9" w:rsidRPr="00B47DB1" w:rsidRDefault="000379D9" w:rsidP="000379D9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>Având în vedere:</w:t>
      </w:r>
      <w:r w:rsidRPr="007201E2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</w:t>
      </w: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-bugetare</w:t>
      </w:r>
      <w:r w:rsidRPr="00B47DB1">
        <w:rPr>
          <w:color w:val="000000" w:themeColor="text1"/>
          <w:sz w:val="23"/>
          <w:szCs w:val="23"/>
        </w:rPr>
        <w:t xml:space="preserve">, </w:t>
      </w: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publicat în Monitorul Oficial, Partea I nr. 699 din 25 iulie 2025, formă aplicabilă la 01 august 2025,</w:t>
      </w:r>
    </w:p>
    <w:p w14:paraId="37A7E728" w14:textId="77777777" w:rsidR="000379D9" w:rsidRPr="00B47DB1" w:rsidRDefault="000379D9" w:rsidP="000379D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“ Art. 291. (1) Cota standard se aplică asupra bazei de impozitare pentru operaţiunile impozabile care nu sunt scutite de taxă sau care nu sunt sup</w:t>
      </w:r>
    </w:p>
    <w:p w14:paraId="3F5BCE03" w14:textId="77777777" w:rsidR="000379D9" w:rsidRPr="00B47DB1" w:rsidRDefault="000379D9" w:rsidP="000379D9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Prevederile alin. (1), art. 291 din Legea nr. 227/2015 privind Codul fiscal</w:t>
      </w:r>
      <w:r w:rsidRPr="00B47DB1">
        <w:rPr>
          <w:color w:val="000000" w:themeColor="text1"/>
          <w:sz w:val="23"/>
          <w:szCs w:val="23"/>
        </w:rPr>
        <w:t xml:space="preserve"> </w:t>
      </w: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din 2015 modificată prin Legea nr. 141/2025 privind unele măsuri fiscal</w:t>
      </w:r>
    </w:p>
    <w:p w14:paraId="3FFB12D2" w14:textId="77777777" w:rsidR="000379D9" w:rsidRPr="00B47DB1" w:rsidRDefault="000379D9" w:rsidP="000379D9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use cotei reduse, iar nivelul acesteia este 21%”;</w:t>
      </w:r>
    </w:p>
    <w:p w14:paraId="1E0DD1F1" w14:textId="77777777" w:rsidR="000379D9" w:rsidRPr="00B47DB1" w:rsidRDefault="000379D9" w:rsidP="000379D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B47DB1">
        <w:rPr>
          <w:color w:val="000000" w:themeColor="text1"/>
          <w:sz w:val="23"/>
          <w:szCs w:val="23"/>
        </w:rPr>
        <w:t xml:space="preserve"> </w:t>
      </w: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1533/29.07.2025;</w:t>
      </w:r>
    </w:p>
    <w:p w14:paraId="133BC140" w14:textId="77777777" w:rsidR="000379D9" w:rsidRPr="00B47DB1" w:rsidRDefault="000379D9" w:rsidP="000379D9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părțile au convenit să încheie prezentul act adițional la contractul de servicii nr. 4 din 23.04.2025, având ca obiect </w:t>
      </w:r>
      <w:bookmarkStart w:id="3" w:name="_Hlk196303933"/>
      <w:r w:rsidRPr="00B47DB1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>servicii informatice lunare de închiriere, mentenanță, asistență tehnică și suport pentru: Sistem informatic integrat financiar-contabil-comercial, salarizare, resurse umane</w:t>
      </w:r>
      <w:r w:rsidRPr="00B47DB1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,</w:t>
      </w:r>
      <w:bookmarkEnd w:id="3"/>
      <w:r w:rsidRPr="00B47DB1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p w14:paraId="76717EA7" w14:textId="77777777" w:rsidR="000379D9" w:rsidRPr="00B47DB1" w:rsidRDefault="000379D9" w:rsidP="000379D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bookmarkEnd w:id="2"/>
    <w:p w14:paraId="7B14B4AA" w14:textId="77777777" w:rsidR="000379D9" w:rsidRPr="00B47DB1" w:rsidRDefault="000379D9" w:rsidP="000379D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pt-BR"/>
        </w:rPr>
        <w:t>I.</w:t>
      </w:r>
      <w:r w:rsidRPr="00B47DB1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it-IT"/>
        </w:rPr>
        <w:t xml:space="preserve"> Art 6.1. de la Cap. 6. PREȚUL CONTRACTULUI se modifică începând cu data de 01.08.2025, după cum urmează</w:t>
      </w:r>
      <w:r w:rsidRPr="00B47DB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  <w:t>:</w:t>
      </w:r>
    </w:p>
    <w:p w14:paraId="6463E274" w14:textId="77777777" w:rsidR="000379D9" w:rsidRPr="00B47DB1" w:rsidRDefault="000379D9" w:rsidP="000379D9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6.1.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convenit pentru îndeplinirea contractului, respectiv </w:t>
      </w:r>
      <w:proofErr w:type="spellStart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serviciilor prestate, plătibil prestatorului de către achizitor este de </w:t>
      </w:r>
      <w:r w:rsidRPr="00B47DB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132.000,00 lei exclusiv TVA</w:t>
      </w:r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la care se adaugă </w:t>
      </w:r>
      <w:r w:rsidRPr="00B47DB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 xml:space="preserve">TVA 27.060,00 lei, </w:t>
      </w:r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reprezentând </w:t>
      </w:r>
      <w:r w:rsidRPr="00B47DB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n-US"/>
        </w:rPr>
        <w:t xml:space="preserve">159.060,00 </w:t>
      </w:r>
      <w:r w:rsidRPr="00B47DB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lei inclusiv TVA</w:t>
      </w:r>
      <w:r w:rsidRPr="00B47DB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 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>rezultat astfel:</w:t>
      </w:r>
    </w:p>
    <w:p w14:paraId="66F3705A" w14:textId="77777777" w:rsidR="000379D9" w:rsidRPr="00B47DB1" w:rsidRDefault="000379D9" w:rsidP="000379D9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Valoare contract inițială: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132.000,00 lei exclusiv TVA, la care se adaugă TVA 25.080,00 lei </w:t>
      </w:r>
      <w:r w:rsidRPr="00B47DB1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157.080,00 lei inclusiv TVA (mai 2025 – aprilie 2026);</w:t>
      </w:r>
    </w:p>
    <w:p w14:paraId="242A2256" w14:textId="77777777" w:rsidR="000379D9" w:rsidRPr="00B47DB1" w:rsidRDefault="000379D9" w:rsidP="000379D9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Facturi emise</w:t>
      </w:r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până la 31.07.2025:</w:t>
      </w:r>
      <w:r w:rsidRPr="00B47DB1">
        <w:rPr>
          <w:color w:val="000000" w:themeColor="text1"/>
          <w:sz w:val="23"/>
          <w:szCs w:val="23"/>
        </w:rPr>
        <w:t xml:space="preserve"> 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33.000,00 lei exclusiv TVA, la care se adaugă TVA 6.270,00 lei </w:t>
      </w:r>
      <w:r w:rsidRPr="00B47DB1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39.270,00 lei inclusiv TVA (mai 2025 – iulie 2025);</w:t>
      </w:r>
    </w:p>
    <w:p w14:paraId="7F73F775" w14:textId="77777777" w:rsidR="000379D9" w:rsidRPr="00B47DB1" w:rsidRDefault="000379D9" w:rsidP="000379D9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lastRenderedPageBreak/>
        <w:t xml:space="preserve">Rest de plată: 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99.000,00 lei exclusiv TVA, la care se adaugă TVA 20.790,00 lei </w:t>
      </w:r>
      <w:r w:rsidRPr="00B47DB1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(21%),</w:t>
      </w:r>
      <w:r w:rsidRPr="00B47DB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119.790,00 lei inclusiv TVA (august 2025 - aprilie 2026), după cum urmează:</w:t>
      </w:r>
    </w:p>
    <w:tbl>
      <w:tblPr>
        <w:tblW w:w="10207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116"/>
        <w:gridCol w:w="2551"/>
        <w:gridCol w:w="567"/>
        <w:gridCol w:w="992"/>
        <w:gridCol w:w="1560"/>
      </w:tblGrid>
      <w:tr w:rsidR="000379D9" w:rsidRPr="00B47DB1" w14:paraId="232B6BE6" w14:textId="77777777" w:rsidTr="003F1830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48E1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Nr. Crt.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9F80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Denumire serviciu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E172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U.M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19446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Cantiate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234AB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Preț unitar, lei fără TVA</w:t>
            </w:r>
          </w:p>
        </w:tc>
      </w:tr>
      <w:tr w:rsidR="000379D9" w:rsidRPr="00B47DB1" w14:paraId="0F7A10B1" w14:textId="77777777" w:rsidTr="003F1830">
        <w:trPr>
          <w:trHeight w:val="3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1FFC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2E0AF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Servicii informatice lunare de închiriere, mentenanță, asistență tehnică și suport pentru: Sistem informatic integrat financiar-contabil-comercial, salarizare, resurse umane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2871F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Gestiune financiar-contabila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7951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BUC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F616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585C7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2.800,00</w:t>
            </w:r>
          </w:p>
        </w:tc>
      </w:tr>
      <w:tr w:rsidR="000379D9" w:rsidRPr="00B47DB1" w14:paraId="6D478A25" w14:textId="77777777" w:rsidTr="003F1830">
        <w:trPr>
          <w:trHeight w:val="41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145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C09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8231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Resurse Umane - Salarizare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38C3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8790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38523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3.200,00</w:t>
            </w:r>
          </w:p>
        </w:tc>
      </w:tr>
      <w:tr w:rsidR="000379D9" w:rsidRPr="00B47DB1" w14:paraId="3A0897E1" w14:textId="77777777" w:rsidTr="003F1830">
        <w:trPr>
          <w:trHeight w:val="266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A600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1E1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26387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Comercial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DCE8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5FDC" w14:textId="77777777" w:rsidR="000379D9" w:rsidRPr="00B47DB1" w:rsidRDefault="000379D9" w:rsidP="003F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61E0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5.000,00</w:t>
            </w:r>
          </w:p>
        </w:tc>
      </w:tr>
      <w:tr w:rsidR="000379D9" w:rsidRPr="00B47DB1" w14:paraId="261C308C" w14:textId="77777777" w:rsidTr="003F1830">
        <w:trPr>
          <w:trHeight w:val="36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773D8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Total valoare lei / lună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40EE4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11.000,00</w:t>
            </w:r>
          </w:p>
        </w:tc>
      </w:tr>
      <w:tr w:rsidR="000379D9" w:rsidRPr="00B47DB1" w14:paraId="39D23E0A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3E1B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Total valoare lei / 8 luni (mai - decembrie 2025)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6415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88.000,00</w:t>
            </w:r>
          </w:p>
        </w:tc>
      </w:tr>
      <w:tr w:rsidR="000379D9" w:rsidRPr="00B47DB1" w14:paraId="052502F5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2D941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Total valoare lei / 4 luni (ianuarie – aprilie 2026)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5615C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44.000,00</w:t>
            </w:r>
          </w:p>
        </w:tc>
      </w:tr>
      <w:tr w:rsidR="000379D9" w:rsidRPr="00B47DB1" w14:paraId="0DE4D6B9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2048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 GENERAL LEI EXLUSIV 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65B99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132.000,00</w:t>
            </w:r>
          </w:p>
        </w:tc>
      </w:tr>
      <w:tr w:rsidR="000379D9" w:rsidRPr="00B47DB1" w14:paraId="3B5F0C85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3E64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19% </w:t>
            </w: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(mai 2025 – iulie 2025)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C4B3D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6.270,00</w:t>
            </w:r>
          </w:p>
        </w:tc>
      </w:tr>
      <w:tr w:rsidR="000379D9" w:rsidRPr="00B47DB1" w14:paraId="598A859F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02E59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21% </w:t>
            </w: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(august 2025 - decembrie 2025)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EDE15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11.550,00</w:t>
            </w:r>
          </w:p>
        </w:tc>
      </w:tr>
      <w:tr w:rsidR="000379D9" w:rsidRPr="00B47DB1" w14:paraId="6F5F10C4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5153B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TVA 21% </w:t>
            </w:r>
            <w:r w:rsidRPr="00B47DB1">
              <w:rPr>
                <w:rFonts w:ascii="Times New Roman" w:eastAsia="Times New Roman" w:hAnsi="Times New Roman" w:cs="Times New Roman"/>
                <w:color w:val="000000" w:themeColor="text1"/>
              </w:rPr>
              <w:t>(ianuarie 2026 - aprilie 2026)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C4490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9.240,00</w:t>
            </w:r>
          </w:p>
        </w:tc>
      </w:tr>
      <w:tr w:rsidR="000379D9" w:rsidRPr="00B47DB1" w14:paraId="52B96F10" w14:textId="77777777" w:rsidTr="003F1830">
        <w:trPr>
          <w:trHeight w:val="3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21D8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 GENERAL LEI INCLUSIV 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63203" w14:textId="77777777" w:rsidR="000379D9" w:rsidRPr="00B47DB1" w:rsidRDefault="000379D9" w:rsidP="003F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47D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159.060,00</w:t>
            </w:r>
          </w:p>
        </w:tc>
      </w:tr>
    </w:tbl>
    <w:p w14:paraId="2EE687B7" w14:textId="77777777" w:rsidR="000379D9" w:rsidRPr="00B47DB1" w:rsidRDefault="000379D9" w:rsidP="000379D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5CF13538" w14:textId="77777777" w:rsidR="000379D9" w:rsidRPr="00B47DB1" w:rsidRDefault="000379D9" w:rsidP="000379D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</w:r>
      <w:r w:rsidRPr="00B47DB1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>Celelalte clauze contractuale rămân neschimbate.</w:t>
      </w:r>
    </w:p>
    <w:p w14:paraId="2C9398F6" w14:textId="77777777" w:rsidR="000379D9" w:rsidRPr="00B47DB1" w:rsidRDefault="000379D9" w:rsidP="000379D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 w:rsidRPr="00B47DB1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355FD342" w14:textId="77777777" w:rsidR="000379D9" w:rsidRPr="00B47DB1" w:rsidRDefault="000379D9" w:rsidP="000379D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3838662A" w14:textId="77777777" w:rsidR="000379D9" w:rsidRPr="00B47DB1" w:rsidRDefault="000379D9" w:rsidP="000379D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SOCIETATEA NAȚIONALĂ DE INFORMATICĂ S.A</w:t>
      </w:r>
    </w:p>
    <w:p w14:paraId="66B43545" w14:textId="77777777" w:rsidR="000379D9" w:rsidRPr="00B47DB1" w:rsidRDefault="000379D9" w:rsidP="000379D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ADMINISTRAREAPATRIMONIULUI                                                        ADMINISTRATOR                  </w:t>
      </w:r>
    </w:p>
    <w:p w14:paraId="2A6C7401" w14:textId="41AEA3FA" w:rsidR="000379D9" w:rsidRPr="00B47DB1" w:rsidRDefault="000379D9" w:rsidP="000379D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</w:t>
      </w:r>
    </w:p>
    <w:p w14:paraId="1DAB1F56" w14:textId="77777777" w:rsidR="000379D9" w:rsidRPr="00B47DB1" w:rsidRDefault="000379D9" w:rsidP="000379D9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B47DB1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01D97AD0" w14:textId="77777777" w:rsidR="000379D9" w:rsidRPr="00B47DB1" w:rsidRDefault="000379D9" w:rsidP="000379D9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0F493370" w14:textId="77777777" w:rsidR="000379D9" w:rsidRPr="00B47DB1" w:rsidRDefault="000379D9" w:rsidP="000379D9">
      <w:pPr>
        <w:pStyle w:val="Frspaiere"/>
        <w:rPr>
          <w:rFonts w:ascii="Times New Roman" w:hAnsi="Times New Roman" w:cs="Times New Roman"/>
          <w:color w:val="000000" w:themeColor="text1"/>
          <w:lang w:val="es-ES"/>
        </w:rPr>
      </w:pPr>
    </w:p>
    <w:p w14:paraId="2D8D52E6" w14:textId="77777777" w:rsidR="009F490D" w:rsidRDefault="009F490D"/>
    <w:sectPr w:rsidR="009F490D" w:rsidSect="00B47DB1">
      <w:pgSz w:w="11906" w:h="16838" w:code="9"/>
      <w:pgMar w:top="851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5084" w14:textId="77777777" w:rsidR="00CD7055" w:rsidRDefault="00CD7055" w:rsidP="00CD7055">
      <w:pPr>
        <w:spacing w:after="0" w:line="240" w:lineRule="auto"/>
      </w:pPr>
      <w:r>
        <w:separator/>
      </w:r>
    </w:p>
  </w:endnote>
  <w:endnote w:type="continuationSeparator" w:id="0">
    <w:p w14:paraId="0CEA34E9" w14:textId="77777777" w:rsidR="00CD7055" w:rsidRDefault="00CD7055" w:rsidP="00CD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F7F0" w14:textId="77777777" w:rsidR="00CD7055" w:rsidRDefault="00CD7055" w:rsidP="00CD7055">
      <w:pPr>
        <w:spacing w:after="0" w:line="240" w:lineRule="auto"/>
      </w:pPr>
      <w:r>
        <w:separator/>
      </w:r>
    </w:p>
  </w:footnote>
  <w:footnote w:type="continuationSeparator" w:id="0">
    <w:p w14:paraId="22062BAF" w14:textId="77777777" w:rsidR="00CD7055" w:rsidRDefault="00CD7055" w:rsidP="00CD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FF"/>
    <w:rsid w:val="000379D9"/>
    <w:rsid w:val="009F490D"/>
    <w:rsid w:val="00B147FF"/>
    <w:rsid w:val="00C50B23"/>
    <w:rsid w:val="00CD7055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7F9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D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37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379D9"/>
    <w:rPr>
      <w:lang w:val="ro-RO"/>
    </w:rPr>
  </w:style>
  <w:style w:type="character" w:customStyle="1" w:styleId="Headerorfooter">
    <w:name w:val="Header or footer_"/>
    <w:link w:val="Headerorfooter1"/>
    <w:uiPriority w:val="99"/>
    <w:rsid w:val="000379D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0379D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0379D9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0379D9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D7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705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a.ionica@snin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2026-01-16T06:57:00Z</dcterms:created>
  <dcterms:modified xsi:type="dcterms:W3CDTF">2026-01-16T06:57:00Z</dcterms:modified>
</cp:coreProperties>
</file>