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A26F" w14:textId="77777777" w:rsidR="00127174" w:rsidRPr="0050725B" w:rsidRDefault="00127174" w:rsidP="00127174">
      <w:pPr>
        <w:tabs>
          <w:tab w:val="left" w:pos="785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725B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4 din 19.05.2026</w:t>
      </w:r>
    </w:p>
    <w:p w14:paraId="63182A67" w14:textId="77777777" w:rsidR="00127174" w:rsidRPr="0050725B" w:rsidRDefault="00127174" w:rsidP="00127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50725B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la CONTRACTUL SUBSECVENT DE PROIECTARE SI EXECUTIE LUCRĂRI </w:t>
      </w:r>
    </w:p>
    <w:p w14:paraId="311FA675" w14:textId="77777777" w:rsidR="00127174" w:rsidRPr="0050725B" w:rsidRDefault="00127174" w:rsidP="00127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50725B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  <w:t xml:space="preserve">NR. </w:t>
      </w:r>
      <w:r w:rsidRPr="005072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85 </w:t>
      </w:r>
      <w:proofErr w:type="gramStart"/>
      <w:r w:rsidRPr="005072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DIN</w:t>
      </w:r>
      <w:proofErr w:type="gramEnd"/>
      <w:r w:rsidRPr="005072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15.10.2025</w:t>
      </w:r>
    </w:p>
    <w:p w14:paraId="2641A5B4" w14:textId="77777777" w:rsidR="00127174" w:rsidRPr="0050725B" w:rsidRDefault="00127174" w:rsidP="00127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50725B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încheiat în baza ACORDULUI-CADRU DE LUCRĂRI nr. 110 din 12.12.2022</w:t>
      </w:r>
    </w:p>
    <w:p w14:paraId="3F7EC401" w14:textId="77777777" w:rsidR="00127174" w:rsidRPr="0050725B" w:rsidRDefault="00127174" w:rsidP="001271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7D323D7D" w14:textId="77777777" w:rsidR="00127174" w:rsidRPr="0050725B" w:rsidRDefault="00127174" w:rsidP="00127174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50725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1. Între </w:t>
      </w:r>
    </w:p>
    <w:p w14:paraId="0B6DF088" w14:textId="77777777" w:rsidR="00127174" w:rsidRPr="0050725B" w:rsidRDefault="00127174" w:rsidP="00127174">
      <w:pPr>
        <w:widowControl w:val="0"/>
        <w:numPr>
          <w:ilvl w:val="0"/>
          <w:numId w:val="1"/>
        </w:numPr>
        <w:spacing w:after="0" w:line="240" w:lineRule="auto"/>
        <w:ind w:left="0" w:right="-7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  <w:r w:rsidRPr="00507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DIRECŢIA GENERALĂ PENTRU ADMINISTRAREA PATRIMONIULUI IMOBILIAR SECTOR 2</w:t>
      </w:r>
      <w:r w:rsidRPr="0050725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, cu sediul în București</w:t>
      </w:r>
      <w:r w:rsidRPr="00507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, Str. </w:t>
      </w:r>
      <w:proofErr w:type="spellStart"/>
      <w:r w:rsidRPr="00507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 w:bidi="ro-RO"/>
        </w:rPr>
        <w:t>Reînvieii</w:t>
      </w:r>
      <w:proofErr w:type="spellEnd"/>
      <w:r w:rsidRPr="00507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 w:bidi="ro-RO"/>
        </w:rPr>
        <w:t xml:space="preserve">, nr. 2D, </w:t>
      </w:r>
      <w:r w:rsidRPr="0050725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5072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50725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507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Achizitor</w:t>
      </w:r>
      <w:r w:rsidRPr="0050725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,</w:t>
      </w:r>
    </w:p>
    <w:p w14:paraId="13B1384C" w14:textId="77777777" w:rsidR="00127174" w:rsidRPr="0050725B" w:rsidRDefault="00127174" w:rsidP="00127174">
      <w:pPr>
        <w:widowControl w:val="0"/>
        <w:spacing w:after="0" w:line="240" w:lineRule="auto"/>
        <w:ind w:right="-7" w:firstLine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507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și</w:t>
      </w:r>
    </w:p>
    <w:p w14:paraId="38B6BEEF" w14:textId="769B2ABF" w:rsidR="006F5BA2" w:rsidRPr="004145AC" w:rsidRDefault="00B73988" w:rsidP="006F5BA2">
      <w:pPr>
        <w:widowControl w:val="0"/>
        <w:spacing w:after="0" w:line="240" w:lineRule="auto"/>
        <w:ind w:right="-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B.     </w:t>
      </w:r>
      <w:r w:rsidR="006F5BA2" w:rsidRPr="004145A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Asocierea </w:t>
      </w:r>
      <w:r w:rsidR="006F5BA2" w:rsidRPr="004145AC">
        <w:rPr>
          <w:rFonts w:ascii="Times New Roman" w:eastAsia="Arial Unicode MS" w:hAnsi="Times New Roman" w:cs="Times New Roman"/>
          <w:b/>
          <w:sz w:val="24"/>
          <w:szCs w:val="24"/>
        </w:rPr>
        <w:t xml:space="preserve">TESARO KIT CONSTRUCT S.R.L., GARDEN CENTER GRUP S.R.L., RO-VERDE LANDSCAPING S.R.L. si CRIS GARDEN S.R.L., </w:t>
      </w:r>
      <w:r w:rsidR="006F5BA2" w:rsidRPr="004145AC">
        <w:rPr>
          <w:rFonts w:ascii="Times New Roman" w:eastAsia="Arial Unicode MS" w:hAnsi="Times New Roman" w:cs="Times New Roman"/>
          <w:bCs/>
          <w:sz w:val="24"/>
          <w:szCs w:val="24"/>
        </w:rPr>
        <w:t>reprezentată prin lider de asociere</w:t>
      </w:r>
      <w:r w:rsidR="006F5BA2" w:rsidRPr="004145AC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14:paraId="55C7BB61" w14:textId="77777777" w:rsidR="006F5BA2" w:rsidRPr="007E10CF" w:rsidRDefault="006F5BA2" w:rsidP="006F5BA2">
      <w:pPr>
        <w:widowControl w:val="0"/>
        <w:tabs>
          <w:tab w:val="left" w:leader="dot" w:pos="907"/>
        </w:tabs>
        <w:spacing w:after="0" w:line="240" w:lineRule="auto"/>
        <w:ind w:left="360" w:right="-7" w:hanging="36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E10CF">
        <w:rPr>
          <w:rFonts w:ascii="Times New Roman" w:eastAsia="Arial Unicode MS" w:hAnsi="Times New Roman" w:cs="Times New Roman"/>
          <w:b/>
          <w:sz w:val="24"/>
          <w:szCs w:val="24"/>
        </w:rPr>
        <w:t>TESARO KIT CONSTRUCT S.R.L.,  ..............;</w:t>
      </w:r>
    </w:p>
    <w:p w14:paraId="6A6C48EF" w14:textId="77777777" w:rsidR="006F5BA2" w:rsidRPr="007E10CF" w:rsidRDefault="006F5BA2" w:rsidP="006F5BA2">
      <w:pPr>
        <w:widowControl w:val="0"/>
        <w:tabs>
          <w:tab w:val="left" w:leader="dot" w:pos="907"/>
        </w:tabs>
        <w:spacing w:after="0" w:line="240" w:lineRule="auto"/>
        <w:ind w:left="360" w:right="-7" w:hanging="36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E10CF">
        <w:rPr>
          <w:rFonts w:ascii="Times New Roman" w:eastAsia="Arial Unicode MS" w:hAnsi="Times New Roman" w:cs="Times New Roman"/>
          <w:b/>
          <w:sz w:val="24"/>
          <w:szCs w:val="24"/>
        </w:rPr>
        <w:t>Asociat - GARDEN CENTER GRUP S.R.L ..................;</w:t>
      </w:r>
    </w:p>
    <w:p w14:paraId="5736EAB7" w14:textId="77777777" w:rsidR="006F5BA2" w:rsidRPr="007E10CF" w:rsidRDefault="006F5BA2" w:rsidP="006F5BA2">
      <w:pPr>
        <w:widowControl w:val="0"/>
        <w:tabs>
          <w:tab w:val="left" w:leader="dot" w:pos="907"/>
        </w:tabs>
        <w:spacing w:after="0" w:line="240" w:lineRule="auto"/>
        <w:ind w:left="360" w:right="-7" w:hanging="36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E10CF">
        <w:rPr>
          <w:rFonts w:ascii="Times New Roman" w:eastAsia="Arial Unicode MS" w:hAnsi="Times New Roman" w:cs="Times New Roman"/>
          <w:b/>
          <w:sz w:val="24"/>
          <w:szCs w:val="24"/>
        </w:rPr>
        <w:t>Asociat - RO-VERDE LANDSCAPING S.R.L. .....................;</w:t>
      </w:r>
    </w:p>
    <w:p w14:paraId="70D74BEA" w14:textId="77777777" w:rsidR="006F5BA2" w:rsidRPr="007E10CF" w:rsidRDefault="006F5BA2" w:rsidP="006F5BA2">
      <w:pPr>
        <w:widowControl w:val="0"/>
        <w:tabs>
          <w:tab w:val="left" w:leader="dot" w:pos="907"/>
        </w:tabs>
        <w:spacing w:after="0" w:line="240" w:lineRule="auto"/>
        <w:ind w:left="360" w:right="-7" w:hanging="36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E10CF">
        <w:rPr>
          <w:rFonts w:ascii="Times New Roman" w:eastAsia="Arial Unicode MS" w:hAnsi="Times New Roman" w:cs="Times New Roman"/>
          <w:b/>
          <w:sz w:val="24"/>
          <w:szCs w:val="24"/>
        </w:rPr>
        <w:t>Asociat - CRIS GARDEN S.R.L. ..........................;</w:t>
      </w:r>
    </w:p>
    <w:p w14:paraId="0E883D42" w14:textId="77777777" w:rsidR="006F5BA2" w:rsidRPr="007E10CF" w:rsidRDefault="006F5BA2" w:rsidP="006F5BA2">
      <w:pPr>
        <w:widowControl w:val="0"/>
        <w:tabs>
          <w:tab w:val="left" w:leader="dot" w:pos="907"/>
        </w:tabs>
        <w:spacing w:after="0" w:line="240" w:lineRule="auto"/>
        <w:ind w:left="360" w:right="-7" w:hanging="36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E10CF">
        <w:rPr>
          <w:rFonts w:ascii="Times New Roman" w:eastAsia="Arial Unicode MS" w:hAnsi="Times New Roman" w:cs="Times New Roman"/>
          <w:b/>
          <w:sz w:val="24"/>
          <w:szCs w:val="24"/>
        </w:rPr>
        <w:t>denumită în continuare executant, și având ca subcontractanți:</w:t>
      </w:r>
    </w:p>
    <w:p w14:paraId="1BA2BA29" w14:textId="77777777" w:rsidR="006F5BA2" w:rsidRPr="007E10CF" w:rsidRDefault="006F5BA2" w:rsidP="006F5BA2">
      <w:pPr>
        <w:widowControl w:val="0"/>
        <w:tabs>
          <w:tab w:val="left" w:leader="dot" w:pos="907"/>
        </w:tabs>
        <w:spacing w:after="0" w:line="240" w:lineRule="auto"/>
        <w:ind w:left="360" w:right="-7" w:hanging="36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E10CF">
        <w:rPr>
          <w:rFonts w:ascii="Times New Roman" w:eastAsia="Arial Unicode MS" w:hAnsi="Times New Roman" w:cs="Times New Roman"/>
          <w:b/>
          <w:sz w:val="24"/>
          <w:szCs w:val="24"/>
        </w:rPr>
        <w:t>Subcontractant - STREET LIGHTING S.R.L. .....................;</w:t>
      </w:r>
    </w:p>
    <w:p w14:paraId="4CCC7EAD" w14:textId="77777777" w:rsidR="006F5BA2" w:rsidRPr="007E10CF" w:rsidRDefault="006F5BA2" w:rsidP="006F5BA2">
      <w:pPr>
        <w:widowControl w:val="0"/>
        <w:tabs>
          <w:tab w:val="left" w:leader="dot" w:pos="907"/>
        </w:tabs>
        <w:spacing w:after="0" w:line="240" w:lineRule="auto"/>
        <w:ind w:left="360" w:right="-7" w:hanging="36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E10CF">
        <w:rPr>
          <w:rFonts w:ascii="Times New Roman" w:eastAsia="Arial Unicode MS" w:hAnsi="Times New Roman" w:cs="Times New Roman"/>
          <w:b/>
          <w:sz w:val="24"/>
          <w:szCs w:val="24"/>
        </w:rPr>
        <w:t>Subcontractant - ECO- HORTICULTURA S.R.L. ........................;</w:t>
      </w:r>
    </w:p>
    <w:p w14:paraId="5C248D23" w14:textId="77777777" w:rsidR="006F5BA2" w:rsidRPr="007E10CF" w:rsidRDefault="006F5BA2" w:rsidP="006F5BA2">
      <w:pPr>
        <w:widowControl w:val="0"/>
        <w:tabs>
          <w:tab w:val="left" w:leader="dot" w:pos="907"/>
        </w:tabs>
        <w:spacing w:after="0" w:line="240" w:lineRule="auto"/>
        <w:ind w:left="360" w:right="-7" w:hanging="36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E10CF">
        <w:rPr>
          <w:rFonts w:ascii="Times New Roman" w:eastAsia="Arial Unicode MS" w:hAnsi="Times New Roman" w:cs="Times New Roman"/>
          <w:b/>
          <w:sz w:val="24"/>
          <w:szCs w:val="24"/>
        </w:rPr>
        <w:t>Subcontractant - MAKSAN TECHNO GRUP S.R.L. .....................;</w:t>
      </w:r>
    </w:p>
    <w:p w14:paraId="01474CD6" w14:textId="77777777" w:rsidR="006F5BA2" w:rsidRDefault="006F5BA2" w:rsidP="006F5BA2">
      <w:pPr>
        <w:widowControl w:val="0"/>
        <w:tabs>
          <w:tab w:val="left" w:leader="dot" w:pos="907"/>
        </w:tabs>
        <w:spacing w:after="0" w:line="240" w:lineRule="auto"/>
        <w:ind w:left="360" w:right="-7" w:hanging="36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E10CF">
        <w:rPr>
          <w:rFonts w:ascii="Times New Roman" w:eastAsia="Arial Unicode MS" w:hAnsi="Times New Roman" w:cs="Times New Roman"/>
          <w:b/>
          <w:sz w:val="24"/>
          <w:szCs w:val="24"/>
        </w:rPr>
        <w:t>Subcontractant - ARH FOX SRL .....................................</w:t>
      </w:r>
    </w:p>
    <w:p w14:paraId="7245E814" w14:textId="77777777" w:rsidR="00127174" w:rsidRPr="0050725B" w:rsidRDefault="00127174" w:rsidP="00127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50725B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50725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725B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50725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725B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50725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50725B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50725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7EE54D9C" w14:textId="77777777" w:rsidR="00127174" w:rsidRPr="0050725B" w:rsidRDefault="00127174" w:rsidP="00127174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DDF4DBC" w14:textId="77777777" w:rsidR="00127174" w:rsidRPr="0050725B" w:rsidRDefault="00127174" w:rsidP="0012717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25B">
        <w:rPr>
          <w:rFonts w:ascii="Times New Roman" w:eastAsia="Calibri" w:hAnsi="Times New Roman" w:cs="Times New Roman"/>
          <w:bCs/>
          <w:sz w:val="24"/>
          <w:szCs w:val="24"/>
        </w:rPr>
        <w:t xml:space="preserve">Având în vedere Referatul nr. 730/15.05.2026, </w:t>
      </w:r>
      <w:r w:rsidRPr="005072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părțile au convenit să încheie prezentul act adițional la Contractul subsecvent nr.</w:t>
      </w:r>
      <w:r w:rsidRPr="0050725B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50725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85 din 15.10.2025</w:t>
      </w:r>
      <w:r w:rsidRPr="005072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5072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având ca obiect: </w:t>
      </w:r>
      <w:r w:rsidRPr="0050725B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lucrări de întreținere, amenajare și modernizare a spațiilor exterioare aparținând unităților de învățământ de stat si imobilelor din administrarea DGAPI (proiectare și execuție)</w:t>
      </w:r>
      <w:r w:rsidRPr="0050725B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,</w:t>
      </w:r>
      <w:r w:rsidRPr="0050725B">
        <w:rPr>
          <w:bCs/>
          <w:color w:val="000000" w:themeColor="text1"/>
          <w:sz w:val="24"/>
          <w:szCs w:val="24"/>
        </w:rPr>
        <w:t xml:space="preserve"> </w:t>
      </w:r>
      <w:r w:rsidRPr="0050725B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și să furnizeze produsele necesare îndeplinirii și finalizării activităților solicitate la obiectivele </w:t>
      </w:r>
      <w:proofErr w:type="spellStart"/>
      <w:r w:rsidRPr="0050725B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menţionate</w:t>
      </w:r>
      <w:proofErr w:type="spellEnd"/>
      <w:r w:rsidRPr="0050725B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în anexa nr. 1, </w:t>
      </w:r>
      <w:r w:rsidRPr="0050725B">
        <w:rPr>
          <w:rFonts w:ascii="Times New Roman" w:eastAsia="Calibri" w:hAnsi="Times New Roman" w:cs="Times New Roman"/>
          <w:sz w:val="24"/>
          <w:szCs w:val="24"/>
        </w:rPr>
        <w:t>cu respectarea următoarelor clauze:</w:t>
      </w:r>
    </w:p>
    <w:p w14:paraId="3AB60D13" w14:textId="77777777" w:rsidR="00127174" w:rsidRPr="0050725B" w:rsidRDefault="00127174" w:rsidP="0012717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75205B54" w14:textId="77777777" w:rsidR="00127174" w:rsidRPr="0050725B" w:rsidRDefault="00127174" w:rsidP="00127174">
      <w:pPr>
        <w:spacing w:after="0" w:line="240" w:lineRule="auto"/>
        <w:ind w:right="26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50725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Art. I Art. 5.1 de la Cap. 5 </w:t>
      </w:r>
      <w:proofErr w:type="spellStart"/>
      <w:r w:rsidRPr="0050725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Preţul</w:t>
      </w:r>
      <w:proofErr w:type="spellEnd"/>
      <w:r w:rsidRPr="0050725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contractului, se modifică după cum urmează:</w:t>
      </w:r>
    </w:p>
    <w:p w14:paraId="755CA604" w14:textId="77777777" w:rsidR="00127174" w:rsidRPr="0050725B" w:rsidRDefault="00127174" w:rsidP="00127174">
      <w:pPr>
        <w:widowControl w:val="0"/>
        <w:tabs>
          <w:tab w:val="left" w:pos="416"/>
          <w:tab w:val="left" w:leader="dot" w:pos="9134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5.1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Preţul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convenit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plătibil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executantului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achizitor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</w:t>
      </w:r>
      <w:r w:rsidRPr="00507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 57.074.960,12 lei fără TVA, </w:t>
      </w:r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care se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adaugă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072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TVA</w:t>
      </w:r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5072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</w:t>
      </w:r>
      <w:proofErr w:type="spellEnd"/>
      <w:r w:rsidRPr="005072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11.985.741,63 </w:t>
      </w:r>
      <w:r w:rsidRPr="00507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lei</w:t>
      </w:r>
      <w:r w:rsidRPr="0050725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,</w:t>
      </w:r>
      <w:r w:rsidRPr="00507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 </w:t>
      </w:r>
      <w:r w:rsidRPr="0050725B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rezultând un</w:t>
      </w:r>
      <w:r w:rsidRPr="00507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 preț total de 69.060.701,72 lei cu TVA, </w:t>
      </w:r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anexei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 la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act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adițional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E59D512" w14:textId="77777777" w:rsidR="00127174" w:rsidRPr="0050725B" w:rsidRDefault="00127174" w:rsidP="00127174">
      <w:pPr>
        <w:widowControl w:val="0"/>
        <w:tabs>
          <w:tab w:val="left" w:pos="416"/>
          <w:tab w:val="left" w:leader="dot" w:pos="9134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prețul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Șantier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504.698,24 lei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TVA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610.684,87 lei cu TVA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iar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proiectare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1.009.396,49 lei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TVA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1.221.369,75lei cu TVA.</w:t>
      </w:r>
    </w:p>
    <w:p w14:paraId="575009DA" w14:textId="77777777" w:rsidR="00127174" w:rsidRPr="0050725B" w:rsidRDefault="00127174" w:rsidP="0012717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3496C2D8" w14:textId="77777777" w:rsidR="00127174" w:rsidRPr="0050725B" w:rsidRDefault="00127174" w:rsidP="00127174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5072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Art. II Alin (1) de la </w:t>
      </w:r>
      <w:proofErr w:type="spellStart"/>
      <w:r w:rsidRPr="005072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art</w:t>
      </w:r>
      <w:proofErr w:type="spellEnd"/>
      <w:r w:rsidRPr="005072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14.1., Cap. 14 </w:t>
      </w:r>
      <w:proofErr w:type="spellStart"/>
      <w:r w:rsidRPr="005072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Garanţia</w:t>
      </w:r>
      <w:proofErr w:type="spellEnd"/>
      <w:r w:rsidRPr="005072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de bună </w:t>
      </w:r>
      <w:proofErr w:type="spellStart"/>
      <w:r w:rsidRPr="005072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execuţie</w:t>
      </w:r>
      <w:proofErr w:type="spellEnd"/>
      <w:r w:rsidRPr="005072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a contractului, </w:t>
      </w:r>
      <w:r w:rsidRPr="005072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se modifică după cum urmează:</w:t>
      </w:r>
    </w:p>
    <w:p w14:paraId="16BD995C" w14:textId="77777777" w:rsidR="00127174" w:rsidRPr="0050725B" w:rsidRDefault="00127174" w:rsidP="00127174">
      <w:pPr>
        <w:widowControl w:val="0"/>
        <w:tabs>
          <w:tab w:val="left" w:pos="4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2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14.1.</w:t>
      </w:r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(1)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Executantul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obligă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garanţia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bună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execuţie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subsecvent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Pr="005072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5.707.496,01 </w:t>
      </w:r>
      <w:r w:rsidRPr="00507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lei,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reprezentând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10% din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TVA, a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derulare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termen de 5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lucrătoare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semnării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50725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2B11D71" w14:textId="77777777" w:rsidR="00127174" w:rsidRPr="0050725B" w:rsidRDefault="00127174" w:rsidP="00127174">
      <w:pPr>
        <w:spacing w:after="0" w:line="24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5FC3224F" w14:textId="77777777" w:rsidR="00127174" w:rsidRPr="0050725B" w:rsidRDefault="00127174" w:rsidP="00127174">
      <w:pPr>
        <w:spacing w:after="0" w:line="24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50725B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5C081B9F" w14:textId="77777777" w:rsidR="00127174" w:rsidRPr="0050725B" w:rsidRDefault="00127174" w:rsidP="00127174">
      <w:pPr>
        <w:spacing w:after="0" w:line="24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50725B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50725B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50725B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50725B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3E189B52" w14:textId="77777777" w:rsidR="00127174" w:rsidRPr="0050725B" w:rsidRDefault="00127174" w:rsidP="00127174">
      <w:pPr>
        <w:suppressAutoHyphens/>
        <w:spacing w:after="0" w:line="240" w:lineRule="atLeast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510B7C98" w14:textId="77777777" w:rsidR="00127174" w:rsidRPr="0050725B" w:rsidRDefault="00127174" w:rsidP="00127174">
      <w:pPr>
        <w:widowControl w:val="0"/>
        <w:spacing w:after="0" w:line="240" w:lineRule="atLeast"/>
        <w:ind w:firstLine="5"/>
        <w:jc w:val="both"/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</w:pPr>
      <w:r w:rsidRPr="0050725B"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  <w:t>ACHIZITOR,                                                                                                        EXECUTANT,</w:t>
      </w:r>
    </w:p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4979"/>
      </w:tblGrid>
      <w:tr w:rsidR="00127174" w:rsidRPr="0050725B" w14:paraId="7188C6F7" w14:textId="77777777" w:rsidTr="009379D9">
        <w:trPr>
          <w:trHeight w:val="603"/>
        </w:trPr>
        <w:tc>
          <w:tcPr>
            <w:tcW w:w="5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AAF6" w14:textId="77777777" w:rsidR="00127174" w:rsidRPr="0050725B" w:rsidRDefault="00127174" w:rsidP="009379D9">
            <w:pPr>
              <w:widowControl w:val="0"/>
              <w:spacing w:after="0" w:line="240" w:lineRule="atLeast"/>
              <w:ind w:left="-10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50725B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DIRECȚIA GENERALĂ PENTRU ADMINISTRAREA PATRIMONIULUI </w:t>
            </w:r>
            <w:r w:rsidRPr="0050725B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lastRenderedPageBreak/>
              <w:t>IMOBILIAR SECTOR 2</w:t>
            </w:r>
          </w:p>
          <w:p w14:paraId="61266DBE" w14:textId="77777777" w:rsidR="00127174" w:rsidRPr="0050725B" w:rsidRDefault="00127174" w:rsidP="009379D9">
            <w:pPr>
              <w:widowControl w:val="0"/>
              <w:spacing w:after="0" w:line="240" w:lineRule="atLeast"/>
              <w:ind w:left="-105" w:firstLine="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50725B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Director General,</w:t>
            </w:r>
          </w:p>
          <w:p w14:paraId="13FB8F38" w14:textId="77777777" w:rsidR="00127174" w:rsidRPr="0050725B" w:rsidRDefault="00127174" w:rsidP="009379D9">
            <w:pPr>
              <w:widowControl w:val="0"/>
              <w:spacing w:after="0" w:line="240" w:lineRule="atLeast"/>
              <w:ind w:left="-105" w:firstLine="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50725B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         </w:t>
            </w:r>
          </w:p>
          <w:p w14:paraId="34B2129D" w14:textId="77777777" w:rsidR="00127174" w:rsidRPr="0050725B" w:rsidRDefault="00127174" w:rsidP="009379D9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  <w:p w14:paraId="2E80DE83" w14:textId="77777777" w:rsidR="00127174" w:rsidRPr="0050725B" w:rsidRDefault="00127174" w:rsidP="009379D9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  <w:p w14:paraId="20E51A63" w14:textId="77777777" w:rsidR="00127174" w:rsidRPr="0050725B" w:rsidRDefault="00127174" w:rsidP="009379D9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  <w:tc>
          <w:tcPr>
            <w:tcW w:w="4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16CB" w14:textId="77777777" w:rsidR="00127174" w:rsidRPr="0050725B" w:rsidRDefault="00127174" w:rsidP="009379D9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bookmarkStart w:id="0" w:name="_Hlk137808991"/>
            <w:r w:rsidRPr="0050725B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lastRenderedPageBreak/>
              <w:t xml:space="preserve">Asocierea </w:t>
            </w:r>
            <w:r w:rsidRPr="0050725B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TESARO KIT CONSTRUCT S.R.L. </w:t>
            </w:r>
            <w:bookmarkEnd w:id="0"/>
            <w:r w:rsidRPr="0050725B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– GARDEN CENTER GRUP S.R.L. – RO-VERDE </w:t>
            </w:r>
            <w:r w:rsidRPr="0050725B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lastRenderedPageBreak/>
              <w:t xml:space="preserve">LANDSCAPING S.R.L. – CRIS GARDEN S.R.L., </w:t>
            </w:r>
            <w:proofErr w:type="spellStart"/>
            <w:r w:rsidRPr="0050725B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reprezentată</w:t>
            </w:r>
            <w:proofErr w:type="spellEnd"/>
            <w:r w:rsidRPr="0050725B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0725B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prin</w:t>
            </w:r>
            <w:proofErr w:type="spellEnd"/>
            <w:r w:rsidRPr="0050725B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0725B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lider</w:t>
            </w:r>
            <w:proofErr w:type="spellEnd"/>
            <w:r w:rsidRPr="0050725B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de </w:t>
            </w:r>
            <w:proofErr w:type="spellStart"/>
            <w:r w:rsidRPr="0050725B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asociere</w:t>
            </w:r>
            <w:proofErr w:type="spellEnd"/>
            <w:r w:rsidRPr="0050725B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TESARO KIT CONSTRUCT S.R.L.</w:t>
            </w:r>
            <w:r w:rsidRPr="0050725B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</w:t>
            </w:r>
          </w:p>
          <w:p w14:paraId="6CA12084" w14:textId="77777777" w:rsidR="00127174" w:rsidRPr="0050725B" w:rsidRDefault="00127174" w:rsidP="009379D9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50725B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Administrator,</w:t>
            </w:r>
          </w:p>
          <w:p w14:paraId="7C695FAF" w14:textId="700A7C48" w:rsidR="00127174" w:rsidRPr="0050725B" w:rsidRDefault="00127174" w:rsidP="009379D9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</w:tr>
      <w:tr w:rsidR="00127174" w:rsidRPr="0050725B" w14:paraId="350236E8" w14:textId="77777777" w:rsidTr="009379D9">
        <w:trPr>
          <w:gridAfter w:val="1"/>
          <w:wAfter w:w="4979" w:type="dxa"/>
          <w:trHeight w:val="604"/>
        </w:trPr>
        <w:tc>
          <w:tcPr>
            <w:tcW w:w="5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9029" w14:textId="77777777" w:rsidR="00127174" w:rsidRPr="0050725B" w:rsidRDefault="00127174" w:rsidP="009379D9">
            <w:pPr>
              <w:widowControl w:val="0"/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color w:val="000000"/>
                <w:lang w:eastAsia="ro-RO" w:bidi="ro-RO"/>
              </w:rPr>
            </w:pPr>
          </w:p>
        </w:tc>
      </w:tr>
      <w:tr w:rsidR="00127174" w:rsidRPr="002C664A" w14:paraId="2F9736C6" w14:textId="77777777" w:rsidTr="009379D9">
        <w:trPr>
          <w:gridAfter w:val="1"/>
          <w:wAfter w:w="4979" w:type="dxa"/>
          <w:trHeight w:val="3264"/>
        </w:trPr>
        <w:tc>
          <w:tcPr>
            <w:tcW w:w="5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549E" w14:textId="22EE8CA6" w:rsidR="00127174" w:rsidRPr="002C664A" w:rsidRDefault="00127174" w:rsidP="009379D9">
            <w:pPr>
              <w:spacing w:after="0" w:line="240" w:lineRule="atLeast"/>
              <w:ind w:firstLine="5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571D09B1" w14:textId="77777777" w:rsidR="00127174" w:rsidRPr="002C664A" w:rsidRDefault="00127174" w:rsidP="00127174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127174" w:rsidRPr="002C664A" w:rsidSect="00A12CD9">
          <w:pgSz w:w="11900" w:h="16840"/>
          <w:pgMar w:top="709" w:right="843" w:bottom="1276" w:left="1134" w:header="0" w:footer="510" w:gutter="0"/>
          <w:cols w:space="720"/>
          <w:noEndnote/>
          <w:docGrid w:linePitch="360"/>
        </w:sectPr>
      </w:pPr>
    </w:p>
    <w:p w14:paraId="1009BB3F" w14:textId="77777777" w:rsidR="00127174" w:rsidRDefault="00127174" w:rsidP="002071A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127174" w:rsidSect="00810002">
      <w:footerReference w:type="default" r:id="rId7"/>
      <w:pgSz w:w="16840" w:h="11900" w:orient="landscape"/>
      <w:pgMar w:top="1134" w:right="425" w:bottom="845" w:left="992" w:header="706" w:footer="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E08C" w14:textId="77777777" w:rsidR="00A529BD" w:rsidRDefault="00A529BD" w:rsidP="00A529BD">
      <w:pPr>
        <w:spacing w:after="0" w:line="240" w:lineRule="auto"/>
      </w:pPr>
      <w:r>
        <w:separator/>
      </w:r>
    </w:p>
  </w:endnote>
  <w:endnote w:type="continuationSeparator" w:id="0">
    <w:p w14:paraId="1E9230C9" w14:textId="77777777" w:rsidR="00A529BD" w:rsidRDefault="00A529BD" w:rsidP="00A5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D653" w14:textId="77777777" w:rsidR="00F325B7" w:rsidRPr="00A529BD" w:rsidRDefault="00A529BD" w:rsidP="00A529B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19E6" w14:textId="77777777" w:rsidR="00A529BD" w:rsidRDefault="00A529BD" w:rsidP="00A529BD">
      <w:pPr>
        <w:spacing w:after="0" w:line="240" w:lineRule="auto"/>
      </w:pPr>
      <w:r>
        <w:separator/>
      </w:r>
    </w:p>
  </w:footnote>
  <w:footnote w:type="continuationSeparator" w:id="0">
    <w:p w14:paraId="63492AF7" w14:textId="77777777" w:rsidR="00A529BD" w:rsidRDefault="00A529BD" w:rsidP="00A52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0642"/>
    <w:multiLevelType w:val="hybridMultilevel"/>
    <w:tmpl w:val="6A085776"/>
    <w:lvl w:ilvl="0" w:tplc="3C26CB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41D8B"/>
    <w:multiLevelType w:val="hybridMultilevel"/>
    <w:tmpl w:val="6A085776"/>
    <w:lvl w:ilvl="0" w:tplc="3C26CB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94"/>
    <w:rsid w:val="00127174"/>
    <w:rsid w:val="002071A3"/>
    <w:rsid w:val="006F5BA2"/>
    <w:rsid w:val="00946294"/>
    <w:rsid w:val="009F490D"/>
    <w:rsid w:val="00A529BD"/>
    <w:rsid w:val="00B73988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2E1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174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127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7174"/>
    <w:rPr>
      <w:lang w:val="ro-RO"/>
    </w:rPr>
  </w:style>
  <w:style w:type="paragraph" w:styleId="Listparagraf">
    <w:name w:val="List Paragraph"/>
    <w:basedOn w:val="Normal"/>
    <w:uiPriority w:val="34"/>
    <w:qFormat/>
    <w:rsid w:val="00B73988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A52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529BD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2026-05-26T10:24:00Z</dcterms:created>
  <dcterms:modified xsi:type="dcterms:W3CDTF">2026-05-26T10:24:00Z</dcterms:modified>
</cp:coreProperties>
</file>