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A7208C" w:rsidP="00A7208C">
      <w:pPr>
        <w:ind w:left="-284" w:hanging="142"/>
        <w:jc w:val="both"/>
        <w:rPr>
          <w:rFonts w:ascii="Times New Roman" w:hAnsi="Times New Roman"/>
          <w:b/>
          <w:bCs/>
          <w:color w:val="000080"/>
        </w:rPr>
      </w:pPr>
      <w:r>
        <w:rPr>
          <w:rFonts w:ascii="Times New Roman" w:hAnsi="Times New Roman"/>
          <w:b/>
          <w:bCs/>
          <w:color w:val="000080"/>
        </w:rPr>
        <w:t xml:space="preserve">   </w:t>
      </w:r>
      <w:r w:rsidR="00243CA5" w:rsidRPr="00243CA5">
        <w:rPr>
          <w:rFonts w:ascii="Times New Roman" w:hAnsi="Times New Roman"/>
          <w:b/>
          <w:bCs/>
          <w:color w:val="000080"/>
        </w:rPr>
        <w:t>Atribuţiile postului:</w:t>
      </w:r>
      <w:r w:rsidR="00243CA5">
        <w:rPr>
          <w:rFonts w:ascii="Times New Roman" w:hAnsi="Times New Roman"/>
          <w:b/>
          <w:bCs/>
          <w:color w:val="000080"/>
        </w:rPr>
        <w:t xml:space="preserve"> </w:t>
      </w:r>
      <w:r w:rsidR="00CE756A">
        <w:rPr>
          <w:rFonts w:ascii="Times New Roman" w:hAnsi="Times New Roman"/>
          <w:b/>
          <w:bCs/>
          <w:color w:val="000080"/>
        </w:rPr>
        <w:t>inspector</w:t>
      </w:r>
      <w:r w:rsidR="00243CA5">
        <w:rPr>
          <w:rFonts w:ascii="Times New Roman" w:hAnsi="Times New Roman"/>
          <w:b/>
          <w:bCs/>
          <w:color w:val="000080"/>
        </w:rPr>
        <w:t xml:space="preserve"> </w:t>
      </w:r>
      <w:r>
        <w:rPr>
          <w:rFonts w:ascii="Times New Roman" w:hAnsi="Times New Roman"/>
          <w:b/>
          <w:bCs/>
          <w:color w:val="000080"/>
        </w:rPr>
        <w:t>superior</w:t>
      </w:r>
      <w:r w:rsidR="00C728C9">
        <w:rPr>
          <w:rFonts w:ascii="Times New Roman" w:hAnsi="Times New Roman"/>
          <w:b/>
          <w:bCs/>
          <w:color w:val="000080"/>
        </w:rPr>
        <w:t xml:space="preserve"> la </w:t>
      </w:r>
      <w:r w:rsidR="00CE756A">
        <w:rPr>
          <w:rFonts w:ascii="Times New Roman" w:hAnsi="Times New Roman"/>
          <w:b/>
          <w:bCs/>
          <w:color w:val="000080"/>
        </w:rPr>
        <w:t xml:space="preserve">Serviciul </w:t>
      </w:r>
      <w:r>
        <w:rPr>
          <w:rFonts w:ascii="Times New Roman" w:hAnsi="Times New Roman"/>
          <w:b/>
          <w:bCs/>
          <w:color w:val="000080"/>
        </w:rPr>
        <w:t>Monitorizare Execuţie Contracte Edilitare</w:t>
      </w:r>
    </w:p>
    <w:p w:rsidR="004B6F67" w:rsidRPr="00243CA5" w:rsidRDefault="004B6F67" w:rsidP="00243CA5">
      <w:pPr>
        <w:jc w:val="both"/>
        <w:rPr>
          <w:rFonts w:ascii="Times New Roman" w:hAnsi="Times New Roman"/>
          <w:b/>
          <w:bCs/>
          <w:color w:val="000080"/>
        </w:rPr>
      </w:pP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Lucrări de reabilitare termică a blocurilor</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Primește contractul de execuție a lucrărilor de reabilitare termică pentru obiectivele aflate în portofoliu inclusiv documentația tehnică și financiară aferentă.</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Verifică documentația tehnică de execuție, conform proces verbal de predare-primire de la DACP.</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Ordinul de Începere a lucrărilor de reabilitare termică.</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și transmite „Anunțul de Începere” către Inspectoratul de Stat în Construcții și emitentului autorizației de construire (DUCGT/PMB).</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Primește contractul de consultanță și dirigenție de șantier, plus documentele aferente și întocmește ordinul de începere a lucrărilor pentru consultanță și dirigenție.</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Convoacă factorii implicați la amplasamentul obiectivului de investiție și încheie Procesul verbal de predare amplasament.</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 xml:space="preserve">Preia de la inspectorul desemnat de DSP toate documentele depuse la Registratura Primăriei Sectorului 2 repartizate pentru SMECE, pe care le preda șefului de serviciu. </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Verifică listele cu cantitățile din situațiile de lucrări pe baza ofertei financiare, a atașamentelor anexate și a cercetării vizuale a construcțiilor în etapele de execuție și semnează pentru verificare.</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Returnează către emitent prin adresă înregistrată listele cu cantitățile din situațiile de lucrări prezentate pentru decontare semnate și confirmate de către diriginții de șantier, în cazul existenței unor neconcordanțe (depășire de cantități de lucrări față de oferta financiară, articole și prețuri diferite, etc.).</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Se deplasează pe teren la adresa obiectivelor pentru verificarea vizuală a cantităților de lucrări din situațiile depuse pentru decontare, a raportărilor privind stadiile fizice de execuție, primite de la consultanți/diriginți, precum și urmare a sesizărilor și reclamațiilor transmise de către petenți, dacă este cazul.</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 xml:space="preserve">Rezolvă în termen lucrările primite conform procedurilor aprobate și după semnarea acestora, le operează în aplicația INFOCET. </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Note de Constatare semnate după caz, de către toți factorii implicați (reprezentanți asociație de proprietari, consultant, proiectant, etc.).</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Urmărește derularea contractelor de execuție și întocmește Ordinul de Sistare/ Reluare, după caz.</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Referatul de necesitate și Nota de fundamentare, în vederea prelungirii termenului de execuție, prin act adițional, în baza referatelor transmise de către proiectant / diriginte.</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și transmite Referate de necesitate, Note de fundamentare către SUDC, în vederea încheierii actelor adiționale, în situația în care valoarea lucrărilor solicitate suplimentar depășește valoarea C+M plus DN, sau aceste lucrări nu se regăsesc în acordul cadru.</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Notele de fundamentare pentru stornări / diminuări angajamente legale și reangajări sume, după caz,  funcție de modificările survenite în buget sau eventuala schimbare a surselor  de finanțare (buget local, credit extern, etc).</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lastRenderedPageBreak/>
        <w:t>Întocmește proiectele de angajamente legale, propunerile de angajare a unor cheltuieli în limita creditelor bugetare (Anexa 1) și Angajamentele bugetare individuale/globale, necesare efectuării plăților situațiilor de lucrări pentru obiectivele aflate în portofoliu.</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Verifică sumele prevăzute în buget pentru obiectivele din portofoliu, repartizarea acestora pe ani bugetari și surse de finanțare și propune modificări funcție de stadiul de derulare al lucrărilor și efectuare a plăților.</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 xml:space="preserve"> Întocmește Note de fundamentare, prin care se certifică îndeplinirea condițiilor de recepție la terminarea lucrărilor de reabilitare termică pentru obiectivele la care contractantul a solicitat schimbarea modului de constituire a garanției de bună execuție cu polița de asigurare, transmite către SUDC.</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 xml:space="preserve">Primește de la SUDC  documentația aferentă poliței de schimbare a garanției de bună execuție. </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Urmărește data expirării prevăzută expres în polița de asigurare, astfel încât cererile de despăgubiri să nu depășească data limită.</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Solicită asiguratului (constructorului) să remedieze deficiențele apărute în perioada garanției.</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Solicită reînnoirea perioadei de valabilitate a poliței.</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Transmite înștiințare către Direcția Economică pentru formularea cererii privind executarea integrală a garanției dacă asiguratul (Contractantul) nu a reînnoit polița și nu prelungește valabilitatea instrumentului de garantare.</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documentația pentru „Recepția la terminarea lucrărilor”, „Recepția finală”, „Document constatator”, și le transmite către factorii implicați.</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Primește și predă Cartea Tehnică, Certificatul Energetic către Asociațiile de Proprietari.</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la cerere, puncte de vedere referitoare la situația economică şi tehnică a blocurilor, şi transmite către DJLCA pentru formulare de puncte de vedere în instanța.</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Întocmește și transmite la cerere documentații către instituțiile abilitate ale statului privind, controlul juridic și financiar pentru obiectivele de reabilitare termică reziliate și reofertate (Curte Conturi, etc.).</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 xml:space="preserve">Gestionează şi arhivează documentele produse în executarea atribuţiilor de serviciu, pe contracte și obiective asigurând accesul facil și informațiile (datele) solicitate de autoritățile de control abilitate. </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Redactează diverse adrese şi scrisori (cu caracter ocazional) ale serviciului, adresate  organizaţiilor sau instituţiilor, referitoare la activitatea pe care o desfăşoară.</w:t>
      </w:r>
    </w:p>
    <w:p w:rsidR="00A7208C" w:rsidRPr="00A7208C" w:rsidRDefault="00A7208C" w:rsidP="00A7208C">
      <w:pPr>
        <w:numPr>
          <w:ilvl w:val="0"/>
          <w:numId w:val="2"/>
        </w:numPr>
        <w:ind w:right="90"/>
        <w:jc w:val="both"/>
        <w:rPr>
          <w:rFonts w:ascii="Times New Roman" w:hAnsi="Times New Roman"/>
        </w:rPr>
      </w:pPr>
      <w:r w:rsidRPr="00A7208C">
        <w:rPr>
          <w:rFonts w:ascii="Times New Roman" w:hAnsi="Times New Roman"/>
        </w:rPr>
        <w:t>Efectuează orice altă sarcină profesională care are legătură cu atribuţiile serviciului, solicitată de Șeful Serviciului sau Directorul Executiv.</w:t>
      </w:r>
    </w:p>
    <w:sectPr w:rsidR="00A7208C" w:rsidRPr="00A7208C"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4BA" w:rsidRDefault="00ED14BA" w:rsidP="00721DC5">
      <w:r>
        <w:separator/>
      </w:r>
    </w:p>
  </w:endnote>
  <w:endnote w:type="continuationSeparator" w:id="0">
    <w:p w:rsidR="00ED14BA" w:rsidRDefault="00ED14BA"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E0" w:rsidRDefault="00BF74E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E0" w:rsidRDefault="00BF74E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E0" w:rsidRDefault="00BF74E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4BA" w:rsidRDefault="00ED14BA" w:rsidP="00721DC5">
      <w:r>
        <w:separator/>
      </w:r>
    </w:p>
  </w:footnote>
  <w:footnote w:type="continuationSeparator" w:id="0">
    <w:p w:rsidR="00ED14BA" w:rsidRDefault="00ED14BA"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E0" w:rsidRDefault="00BF74E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ED14BA">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E0" w:rsidRDefault="00BF74E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C15D5"/>
    <w:rsid w:val="00243CA5"/>
    <w:rsid w:val="002C1211"/>
    <w:rsid w:val="0031605C"/>
    <w:rsid w:val="0032236F"/>
    <w:rsid w:val="003B6D64"/>
    <w:rsid w:val="003E5C43"/>
    <w:rsid w:val="004A7EB0"/>
    <w:rsid w:val="004B6F67"/>
    <w:rsid w:val="00506380"/>
    <w:rsid w:val="005A3786"/>
    <w:rsid w:val="00627D9B"/>
    <w:rsid w:val="00667872"/>
    <w:rsid w:val="0068283D"/>
    <w:rsid w:val="006E4724"/>
    <w:rsid w:val="00721DC5"/>
    <w:rsid w:val="00734BAB"/>
    <w:rsid w:val="00846EAB"/>
    <w:rsid w:val="00A7208C"/>
    <w:rsid w:val="00B54921"/>
    <w:rsid w:val="00BC5056"/>
    <w:rsid w:val="00BF74E0"/>
    <w:rsid w:val="00C50F69"/>
    <w:rsid w:val="00C728C9"/>
    <w:rsid w:val="00CE756A"/>
    <w:rsid w:val="00DE6C32"/>
    <w:rsid w:val="00DE7D82"/>
    <w:rsid w:val="00E2240F"/>
    <w:rsid w:val="00EB42C5"/>
    <w:rsid w:val="00ED14BA"/>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4747</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2021-08-12T04:50:00Z</dcterms:created>
  <dcterms:modified xsi:type="dcterms:W3CDTF">2021-08-12T04:50:00Z</dcterms:modified>
</cp:coreProperties>
</file>