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FA3417">
      <w:bookmarkStart w:id="0" w:name="_GoBack"/>
      <w:bookmarkEnd w:id="0"/>
      <w:r>
        <w:rPr>
          <w:noProof/>
          <w:lang w:eastAsia="ro-RO"/>
        </w:rPr>
        <w:drawing>
          <wp:inline distT="0" distB="0" distL="0" distR="0" wp14:anchorId="53C4C864" wp14:editId="3F488FB3">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243CA5" w:rsidP="007312DD">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6742ED">
        <w:rPr>
          <w:rFonts w:ascii="Times New Roman" w:hAnsi="Times New Roman"/>
          <w:b/>
          <w:bCs/>
          <w:color w:val="000080"/>
        </w:rPr>
        <w:t>consilier juridic superior la Serviciul Juridic</w:t>
      </w:r>
    </w:p>
    <w:p w:rsidR="004B6F67" w:rsidRPr="00243CA5" w:rsidRDefault="004B6F67" w:rsidP="00243CA5">
      <w:pPr>
        <w:jc w:val="both"/>
        <w:rPr>
          <w:rFonts w:ascii="Times New Roman" w:hAnsi="Times New Roman"/>
          <w:b/>
          <w:bCs/>
          <w:color w:val="000080"/>
        </w:rPr>
      </w:pP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Reprezintă şi susţine interesele Primăriei Sectorului 2 şi ale Consiliului Local Sector 2 în faţa instanţelor de judecată (judecătorii, tribunale, curţi de apel, Înalta Curte de Casaţie şi  Justiţie) şi a celorlalte organe jurisdicţionale, pe bază de delegaţie.</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Întocmeşte la timp şi în condiţii de maximă exigenţă profesională materialele scrise şi lucrările repartizate, respectiv: cereri de chemare în judecată, cereri de intervenţie, cereri reconvenţionale, cereri de declarare a căilor de atac (apeluri, recursuri, contestaţii în anulare, revizuiri), întâmpinări, răspunsuri la interogatorii (împreună cu compartimentele implicate), note şi concluzii scrise, referate de neatacare în situaţii justificate.</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Promovează cererile de chemare în judecată (desfiinţări de construcţii, acţiuni în pretenţii, anulare acte administrative) numai cu aprobarea Directorului Direcţiei Juridice şi avizarea de către Secretar General al Sector 2, Primar sau de Viceprimar cu delegare de competenţă în acest sens, după caz, conform normelor interne referitoare la semnarea şi circulaţia documentelor în cadrul Primăriei Sectorului 2.</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Întocmeşte referate bine întemeiate privind neexercitarea căilor de atac sau renunţarea la judecată, numai în cazuri bine justificate de interesul patrimonial al instituţiei, pe care le supune spre avizare şefului serviciului.</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Acordă asistenţă juridică compartimentelor instituţiei, la audienţele desfăşurate în cadrul Primăriei Sectorului 2, precum şi persoanelor fizice şi juridice care se prezintă la audienţele  Direcţiei Juridice, Legislaţie, Contencios - Administrativ în timpul programului de relaţii cu publicul.</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Rezolvă în mod operativ toate lucrările de specialitate juridică repartizate (memorii, sesizări, plângeri, puncte de vedere solicitate etc.), răspunzând în termen legal acestora.</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Depune toate diligenţele necesare pentru dovedirea pretenţiilor sau pentru apărarea intereselor instituţiei, precum şi pentru obţinerea titlurilor executorii privind creanţele instituţiei, inclusiv transmiterea acestora organelor de  executare silită.</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Verifică şi formulează obiecţiuni la  proiectele de contracte întocmite de serviciile de specialitate.</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Colaborează la întocmirea proiectelor de hotărâri ale Consiliului Local Sector 2, regulamentelor, dispoziţiilor, instrucţiunilor  precum şi a oricăror acte normative elaborate de Consiliul Local al Sectorului 2 sau de către Primar.</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Urmăreşte apariţia actelor normative şi semnalează factorilor a căror activitate este vizată de aceste acte, sarcinile ce revin administraţiei publice locale în domeniile de competenţă.</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Gestionează şi arhivează documentele produse în executarea atribuţiilor de serviciu.</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Redactează diverse adrese şi scrisori (cu caracter ocazional) ale serviciului, adresate  organizaţiilor sau instituţiilor, referitoare la activitatea pe care o desfăşoară.</w:t>
      </w:r>
    </w:p>
    <w:p w:rsidR="00955BB6" w:rsidRPr="00955BB6" w:rsidRDefault="00955BB6" w:rsidP="00955BB6">
      <w:pPr>
        <w:numPr>
          <w:ilvl w:val="0"/>
          <w:numId w:val="2"/>
        </w:numPr>
        <w:ind w:right="90"/>
        <w:jc w:val="both"/>
        <w:rPr>
          <w:rFonts w:ascii="Times New Roman" w:hAnsi="Times New Roman"/>
        </w:rPr>
      </w:pPr>
      <w:r w:rsidRPr="00955BB6">
        <w:rPr>
          <w:rFonts w:ascii="Times New Roman" w:hAnsi="Times New Roman"/>
        </w:rPr>
        <w:t>Efectuează orice altă sarcină profesională care are legătură cu atribuţiile serviciului, solicitate de Șeful Serviciului şi Directorul Executiv.</w:t>
      </w:r>
    </w:p>
    <w:p w:rsidR="00C728C9" w:rsidRPr="00CE756A" w:rsidRDefault="00C728C9" w:rsidP="00955BB6">
      <w:pPr>
        <w:ind w:left="720" w:right="90"/>
        <w:jc w:val="both"/>
        <w:rPr>
          <w:rFonts w:ascii="Times New Roman" w:hAnsi="Times New Roman"/>
        </w:rPr>
      </w:pPr>
    </w:p>
    <w:sectPr w:rsidR="00C728C9" w:rsidRPr="00CE756A" w:rsidSect="00FA3417">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87" w:rsidRDefault="007D1B87" w:rsidP="00721DC5">
      <w:r>
        <w:separator/>
      </w:r>
    </w:p>
  </w:endnote>
  <w:endnote w:type="continuationSeparator" w:id="0">
    <w:p w:rsidR="007D1B87" w:rsidRDefault="007D1B87"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0E" w:rsidRDefault="008A220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0E" w:rsidRDefault="008A220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0E" w:rsidRDefault="008A220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87" w:rsidRDefault="007D1B87" w:rsidP="00721DC5">
      <w:r>
        <w:separator/>
      </w:r>
    </w:p>
  </w:footnote>
  <w:footnote w:type="continuationSeparator" w:id="0">
    <w:p w:rsidR="007D1B87" w:rsidRDefault="007D1B87"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0E" w:rsidRDefault="008A220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7D1B87">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64.45pt;width:374.1pt;height:2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0E" w:rsidRDefault="008A220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79C9"/>
    <w:multiLevelType w:val="hybridMultilevel"/>
    <w:tmpl w:val="5924239A"/>
    <w:lvl w:ilvl="0" w:tplc="4246FB84">
      <w:start w:val="1"/>
      <w:numFmt w:val="decimal"/>
      <w:lvlText w:val="%1."/>
      <w:lvlJc w:val="left"/>
      <w:pPr>
        <w:tabs>
          <w:tab w:val="num" w:pos="720"/>
        </w:tabs>
        <w:ind w:left="720" w:hanging="360"/>
      </w:pPr>
      <w:rPr>
        <w:rFonts w:hint="default"/>
        <w:b/>
        <w:color w:val="auto"/>
      </w:rPr>
    </w:lvl>
    <w:lvl w:ilvl="1" w:tplc="89B6B3B4">
      <w:numFmt w:val="bullet"/>
      <w:lvlText w:val="-"/>
      <w:lvlJc w:val="left"/>
      <w:pPr>
        <w:tabs>
          <w:tab w:val="num" w:pos="2135"/>
        </w:tabs>
        <w:ind w:left="2135" w:hanging="1055"/>
      </w:pPr>
      <w:rPr>
        <w:rFonts w:ascii="Times New Roman" w:eastAsia="Times New Roman" w:hAnsi="Times New Roman" w:cs="Times New Roman" w:hint="default"/>
      </w:rPr>
    </w:lvl>
    <w:lvl w:ilvl="2" w:tplc="0418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C15D5"/>
    <w:rsid w:val="00243CA5"/>
    <w:rsid w:val="002C0551"/>
    <w:rsid w:val="002C1211"/>
    <w:rsid w:val="0031605C"/>
    <w:rsid w:val="0032236F"/>
    <w:rsid w:val="003B6D64"/>
    <w:rsid w:val="003E16F7"/>
    <w:rsid w:val="003E5C43"/>
    <w:rsid w:val="004A7EB0"/>
    <w:rsid w:val="004B6F67"/>
    <w:rsid w:val="00506380"/>
    <w:rsid w:val="005A3786"/>
    <w:rsid w:val="006742ED"/>
    <w:rsid w:val="0068283D"/>
    <w:rsid w:val="006E4724"/>
    <w:rsid w:val="00721DC5"/>
    <w:rsid w:val="007312DD"/>
    <w:rsid w:val="00734BAB"/>
    <w:rsid w:val="007D1B87"/>
    <w:rsid w:val="00846EAB"/>
    <w:rsid w:val="008A220E"/>
    <w:rsid w:val="00955BB6"/>
    <w:rsid w:val="00B856AD"/>
    <w:rsid w:val="00BC5056"/>
    <w:rsid w:val="00C50F69"/>
    <w:rsid w:val="00C728C9"/>
    <w:rsid w:val="00CB4F32"/>
    <w:rsid w:val="00CE756A"/>
    <w:rsid w:val="00DE6C32"/>
    <w:rsid w:val="00DE7D82"/>
    <w:rsid w:val="00E2240F"/>
    <w:rsid w:val="00EB42C5"/>
    <w:rsid w:val="00FA3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2621</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2021-08-12T04:51:00Z</dcterms:created>
  <dcterms:modified xsi:type="dcterms:W3CDTF">2021-08-12T04:51:00Z</dcterms:modified>
</cp:coreProperties>
</file>