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4E5" w:rsidRDefault="007D21E8">
      <w:bookmarkStart w:id="0" w:name="_GoBack"/>
      <w:bookmarkEnd w:id="0"/>
      <w:r w:rsidRPr="007D21E8">
        <w:rPr>
          <w:rFonts w:ascii="Times New Roman" w:hAnsi="Times New Roman"/>
          <w:noProof/>
          <w:lang w:eastAsia="ro-RO"/>
        </w:rPr>
        <w:drawing>
          <wp:inline distT="0" distB="0" distL="0" distR="0" wp14:anchorId="0A660312" wp14:editId="06906FE9">
            <wp:extent cx="5900420" cy="1097503"/>
            <wp:effectExtent l="0" t="0" r="5080" b="762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00420" cy="1097503"/>
                    </a:xfrm>
                    <a:prstGeom prst="rect">
                      <a:avLst/>
                    </a:prstGeom>
                  </pic:spPr>
                </pic:pic>
              </a:graphicData>
            </a:graphic>
          </wp:inline>
        </w:drawing>
      </w:r>
    </w:p>
    <w:p w:rsidR="00F334E5" w:rsidRPr="00F334E5" w:rsidRDefault="00F334E5" w:rsidP="00F334E5"/>
    <w:p w:rsidR="002F50DC" w:rsidRDefault="007D21E8" w:rsidP="007D21E8">
      <w:pPr>
        <w:ind w:left="360"/>
        <w:contextualSpacing/>
        <w:jc w:val="both"/>
        <w:rPr>
          <w:rFonts w:ascii="Times New Roman" w:hAnsi="Times New Roman"/>
          <w:b/>
          <w:bCs/>
        </w:rPr>
      </w:pPr>
      <w:r>
        <w:rPr>
          <w:rFonts w:ascii="Times New Roman" w:hAnsi="Times New Roman"/>
          <w:b/>
          <w:bCs/>
        </w:rPr>
        <w:t xml:space="preserve">A. </w:t>
      </w:r>
      <w:r w:rsidR="002F50DC" w:rsidRPr="002F50DC">
        <w:rPr>
          <w:rFonts w:ascii="Times New Roman" w:hAnsi="Times New Roman"/>
          <w:b/>
          <w:bCs/>
        </w:rPr>
        <w:t>Atribuţiile postului:</w:t>
      </w:r>
      <w:r>
        <w:rPr>
          <w:rFonts w:ascii="Times New Roman" w:hAnsi="Times New Roman"/>
          <w:b/>
          <w:bCs/>
        </w:rPr>
        <w:t xml:space="preserve"> Director General al Poliţiei Locale Sector 2</w:t>
      </w:r>
    </w:p>
    <w:p w:rsidR="007D21E8" w:rsidRPr="002F50DC" w:rsidRDefault="007D21E8" w:rsidP="007D21E8">
      <w:pPr>
        <w:ind w:left="360"/>
        <w:contextualSpacing/>
        <w:jc w:val="both"/>
        <w:rPr>
          <w:rFonts w:ascii="Times New Roman" w:hAnsi="Times New Roman"/>
          <w:b/>
          <w:bCs/>
        </w:rPr>
      </w:pPr>
    </w:p>
    <w:p w:rsidR="002F50DC" w:rsidRPr="002F50DC" w:rsidRDefault="002F50DC" w:rsidP="002F50DC">
      <w:pPr>
        <w:numPr>
          <w:ilvl w:val="0"/>
          <w:numId w:val="2"/>
        </w:numPr>
        <w:tabs>
          <w:tab w:val="num" w:pos="450"/>
        </w:tabs>
        <w:ind w:hanging="540"/>
        <w:jc w:val="both"/>
        <w:rPr>
          <w:rFonts w:ascii="Times New Roman" w:hAnsi="Times New Roman"/>
        </w:rPr>
      </w:pPr>
      <w:r w:rsidRPr="002F50DC">
        <w:rPr>
          <w:rFonts w:ascii="Times New Roman" w:hAnsi="Times New Roman"/>
        </w:rPr>
        <w:t xml:space="preserve">Organizează, planifică şi coordonează întreaga activitate a Poliției Locale Sector 2. </w:t>
      </w:r>
    </w:p>
    <w:p w:rsidR="002F50DC" w:rsidRPr="002F50DC" w:rsidRDefault="002F50DC" w:rsidP="002F50DC">
      <w:pPr>
        <w:numPr>
          <w:ilvl w:val="0"/>
          <w:numId w:val="2"/>
        </w:numPr>
        <w:tabs>
          <w:tab w:val="num" w:pos="450"/>
        </w:tabs>
        <w:ind w:left="450" w:hanging="270"/>
        <w:jc w:val="both"/>
        <w:rPr>
          <w:rFonts w:ascii="Times New Roman" w:hAnsi="Times New Roman"/>
        </w:rPr>
      </w:pPr>
      <w:r w:rsidRPr="002F50DC">
        <w:rPr>
          <w:rFonts w:ascii="Times New Roman" w:hAnsi="Times New Roman"/>
        </w:rPr>
        <w:t>Identifică activităţile care trebuie desfăşurate de structura condusă, delimitează atribuţiile şi stabileşte obiectivele Poliției Locale Sector 2 precum şi obiectivele individuale ale angajaţilor din subordinea directă.</w:t>
      </w:r>
    </w:p>
    <w:p w:rsidR="002F50DC" w:rsidRPr="002F50DC" w:rsidRDefault="002F50DC" w:rsidP="002F50DC">
      <w:pPr>
        <w:numPr>
          <w:ilvl w:val="0"/>
          <w:numId w:val="2"/>
        </w:numPr>
        <w:tabs>
          <w:tab w:val="num" w:pos="450"/>
        </w:tabs>
        <w:ind w:left="450" w:hanging="270"/>
        <w:jc w:val="both"/>
        <w:rPr>
          <w:rFonts w:ascii="Times New Roman" w:hAnsi="Times New Roman"/>
        </w:rPr>
      </w:pPr>
      <w:r w:rsidRPr="002F50DC">
        <w:rPr>
          <w:rFonts w:ascii="Times New Roman" w:hAnsi="Times New Roman"/>
        </w:rPr>
        <w:t>Repartizează echilibrat şi echitabil atribuţiile şi obiectivele, în funcţie de nivelul, categoria, şi gradul/treapta angajaţilor din subordinea directă.</w:t>
      </w:r>
    </w:p>
    <w:p w:rsidR="002F50DC" w:rsidRPr="002F50DC" w:rsidRDefault="002F50DC" w:rsidP="002F50DC">
      <w:pPr>
        <w:numPr>
          <w:ilvl w:val="0"/>
          <w:numId w:val="2"/>
        </w:numPr>
        <w:tabs>
          <w:tab w:val="num" w:pos="450"/>
        </w:tabs>
        <w:ind w:left="450" w:hanging="270"/>
        <w:jc w:val="both"/>
        <w:rPr>
          <w:rFonts w:ascii="Times New Roman" w:hAnsi="Times New Roman"/>
        </w:rPr>
      </w:pPr>
      <w:r w:rsidRPr="002F50DC">
        <w:rPr>
          <w:rFonts w:ascii="Times New Roman" w:hAnsi="Times New Roman"/>
        </w:rPr>
        <w:t>Repartizează echilibrat și echitabil atribuțiile și obiectivele de îndeplinit ale structurilor din subordine pe ansamblul instituției.</w:t>
      </w:r>
    </w:p>
    <w:p w:rsidR="002F50DC" w:rsidRPr="002F50DC" w:rsidRDefault="002F50DC" w:rsidP="002F50DC">
      <w:pPr>
        <w:numPr>
          <w:ilvl w:val="0"/>
          <w:numId w:val="2"/>
        </w:numPr>
        <w:tabs>
          <w:tab w:val="num" w:pos="450"/>
        </w:tabs>
        <w:ind w:left="450" w:hanging="270"/>
        <w:jc w:val="both"/>
        <w:rPr>
          <w:rFonts w:ascii="Times New Roman" w:hAnsi="Times New Roman"/>
        </w:rPr>
      </w:pPr>
      <w:r w:rsidRPr="002F50DC">
        <w:rPr>
          <w:rFonts w:ascii="Times New Roman" w:hAnsi="Times New Roman"/>
        </w:rPr>
        <w:t>Planifică şi administrează activitatea Poliției Locale Sector 2, creează o viziune realistă asupra rolului Poliției Locale Sector 2, o transpune în practică şi o susţine.</w:t>
      </w:r>
    </w:p>
    <w:p w:rsidR="002F50DC" w:rsidRPr="002F50DC" w:rsidRDefault="002F50DC" w:rsidP="002F50DC">
      <w:pPr>
        <w:numPr>
          <w:ilvl w:val="0"/>
          <w:numId w:val="2"/>
        </w:numPr>
        <w:tabs>
          <w:tab w:val="num" w:pos="450"/>
        </w:tabs>
        <w:ind w:left="450" w:hanging="270"/>
        <w:jc w:val="both"/>
        <w:rPr>
          <w:rFonts w:ascii="Times New Roman" w:hAnsi="Times New Roman"/>
        </w:rPr>
      </w:pPr>
      <w:r w:rsidRPr="002F50DC">
        <w:rPr>
          <w:rFonts w:ascii="Times New Roman" w:hAnsi="Times New Roman"/>
        </w:rPr>
        <w:t>Armonizează deciziile și acțiunile personalului Poliției Locale Sector 2, coordonează și controlează activitățile desfășurate în cadrul diferitelor structurilor din subordine, în vederea realizării obiectivelor propuse.</w:t>
      </w:r>
    </w:p>
    <w:p w:rsidR="002F50DC" w:rsidRPr="002F50DC" w:rsidRDefault="002F50DC" w:rsidP="002F50DC">
      <w:pPr>
        <w:numPr>
          <w:ilvl w:val="0"/>
          <w:numId w:val="2"/>
        </w:numPr>
        <w:tabs>
          <w:tab w:val="num" w:pos="450"/>
        </w:tabs>
        <w:ind w:left="450" w:hanging="270"/>
        <w:jc w:val="both"/>
        <w:rPr>
          <w:rFonts w:ascii="Times New Roman" w:hAnsi="Times New Roman"/>
        </w:rPr>
      </w:pPr>
      <w:r w:rsidRPr="002F50DC">
        <w:rPr>
          <w:rFonts w:ascii="Times New Roman" w:hAnsi="Times New Roman"/>
        </w:rPr>
        <w:t>Depistează deficienţele apărute în desfăşurarea activităţilor din cadrul Poliției Locale Sector 2 şi ia măsurile necesare pentru corectarea în timp util a acestora.</w:t>
      </w:r>
    </w:p>
    <w:p w:rsidR="002F50DC" w:rsidRPr="002F50DC" w:rsidRDefault="002F50DC" w:rsidP="002F50DC">
      <w:pPr>
        <w:numPr>
          <w:ilvl w:val="0"/>
          <w:numId w:val="2"/>
        </w:numPr>
        <w:tabs>
          <w:tab w:val="num" w:pos="450"/>
        </w:tabs>
        <w:ind w:left="450" w:hanging="270"/>
        <w:jc w:val="both"/>
        <w:rPr>
          <w:rFonts w:ascii="Times New Roman" w:hAnsi="Times New Roman"/>
        </w:rPr>
      </w:pPr>
      <w:r w:rsidRPr="002F50DC">
        <w:rPr>
          <w:rFonts w:ascii="Times New Roman" w:hAnsi="Times New Roman"/>
        </w:rPr>
        <w:t>Adoptă hotărâri şi decizii în timp util, cu simţ de răspundere şi conform competenţei legale, cu privire la desfăşurarea activităţii structurii conduse.</w:t>
      </w:r>
    </w:p>
    <w:p w:rsidR="002F50DC" w:rsidRPr="002F50DC" w:rsidRDefault="002F50DC" w:rsidP="002F50DC">
      <w:pPr>
        <w:numPr>
          <w:ilvl w:val="0"/>
          <w:numId w:val="2"/>
        </w:numPr>
        <w:tabs>
          <w:tab w:val="num" w:pos="450"/>
        </w:tabs>
        <w:ind w:left="450" w:hanging="270"/>
        <w:jc w:val="both"/>
        <w:rPr>
          <w:rFonts w:ascii="Times New Roman" w:hAnsi="Times New Roman"/>
        </w:rPr>
      </w:pPr>
      <w:r w:rsidRPr="002F50DC">
        <w:rPr>
          <w:rFonts w:ascii="Times New Roman" w:hAnsi="Times New Roman"/>
        </w:rPr>
        <w:t>Planifică şi administrează activitatea personalului din subordinea directă, asigurând sprijinul şi motivarea corespunzătoare, creează, implementează şi menţine politici de personal eficiente.</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Asigură prin măsuri corespunzătoare utilizarea eficientă a resurselor materiale și financiare alocate instituției.</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 xml:space="preserve">Identifică nevoile de instruire ale personalului din subordinea directă şi formulează propuneri privind tematica şi formele concrete de realizare a instruirii. </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Adoptă decizii optime, cu imparțialitate și corectitudine, în legătură cu evaluarea personalului,pe baza propunerilor șefilor de compartimente, acordarea recompenselor pentru rezultate deosebite în activitate sau sancționarea pentru abateri disciplinare.</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Exercită funcția de ordonator terțiar de credite pentru Poliția Locală Sector 2.</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Studiază, analizează şi orientează corespondenţa Poliției Locale Sector 2, către persoanele apte şi abilitate să emită răspunsuri la problemele cuprinse în conţinutul acesteia.</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Contrasemnează documentele (proiecte de dispoziţii şi hotărâri, scheme de încadrare, programe, cereri, informări, rapoarte, referate, note de serviciu, etc.) emise de salariaţii din structura condusă.</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Verifică modul de rezolvare în termen a lucrărilor repartizate structurii conduse: asigură conducerea generală a Poliției Locale Sector 2 şi răspunde pentru buna ei funcţionare în îndeplinirea atribuţiilor ce îi revin; emite decizii care devin executorii după ce sunt aduse la cunoştinţă factorilor desemnaţi în aplicarea lor.</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Aprobă numirea şi încetarea raporturilor de serviciu, încheierea şi desfacerea contractului de muncă pentru personalul Poliției Locale Sector 2 stabilit prin organigramă, promovarea sau sancţionarea acestuia, emiţând decizii în acest sens.</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lastRenderedPageBreak/>
        <w:t>Coordonează activitatea de elaborare a proiectelor de hotărâri privind aprobarea organigramei, statului de funcții și a Regulamentului de organizare și Funcționare ale Poliției Locale Sector 2 precum și referate de specialitate şi proiecte de hotărâri referitoare la activitatea structurii conduse, pe care le prezintă Primarului Sector 2 spre avizare și apoi le supune aprobării Consiliului Local Sector 2.</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Stabileşte atribuţiile Poliției Locale Sector 2, în conformitate cu Regulamentul de Organizare şi Funcţionare, urmărind modul de executare al acestora.</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Organizează, îndrumă și coordonează acțiunea de elaborare a bugetului de venituri și cheltuieli al Poliției Locale Sector 2 și contul de execuție bugetar, pe care le supune spre aprobare Consiliului Local Sector 2.</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Exercită drepturile şi asigură îndeplinirea obligaţiilor ce revin instituţiei în calitate de persoană juridică.</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Reprezintă instituţia în relaţiile cu terţii, precum şi în justiţie.</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Verifică, din oficiu sau la cerere, încasarea şi cheltuirea sumelor din bugetul de venituri şi cheltuieli aprobat de Consiliul Local Sector 2.</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Adaptează stilul propriu de conducere la situaţii diferite, acţionând pentru gestionarea şi rezolvarea conflictelor.</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Supraveghează inventarierea patrimoniului şi administrarea bunurilor care aparţin sau sunt în administrarea Poliției Locale Sector 2.</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Analizează eficienţa activităţii salariaţilor din structura condusă şi evaluează performanţele profesionale ale subordonaţilor direcţi.</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Urmăreşte utilizarea şi gestionarea eficientă a echipamentelor de tehnică de calcul existente în cadrul structurilor Poliției Locale Sector 2.</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Instruieşte personalul din subordinea directă în legătură cu noile reglementări  legislative legate de activitatea desfăşurată.</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Asigură desfășurarea pregătirii profesionale a personalului din subordine.</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Coordonează activitatea de preluare a obiectivelor încredințate pentru pază și urmărește îndeplinirea întocmai a clauzelor prevăzute în contractele de prestări servicii încheiate.</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Aprobă planurile de pază elaborate pentru obiectivele preluate pe bază de contract de prestări servicii.</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Studiază și propune instituțiilor beneficiare de pază introducerea amenajărilor tehnice și a sistemelor de alarmare împotriva efracției.</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Analizează trimestrial activitatea Poliției Locale Sector 2 și indicatorii de performanță stabiliți de Consiliul Local Sector 2.</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Asigură informarea operativă a Consiliului Local Sector 2 și a Primarului Sector 2 despre evenimentele deosebite ce au avut loc în activitatea Poliției Locale Sector 2.</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Colaborează cu alte organe ale statului cu atribuții privind asigurarea climatului de ordine și liniște publică, siguranța persoanelor, integritatea corporală, viața, bunurile acestora ori ale bunurilor ce aparțin domeniului public, curățenia și combaterea comerțului stradal neautorizat.</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Asigură ordinea interioară și disciplina personalului din subordine, având dreptul să propună acordarea de recompense și aplicarea de sancțiuni în condițiile legii.</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 xml:space="preserve">Studiază și propune Consiliului Local Sector 2 adaptarea de măsuri, în cadrul instituției, menite să asigure realizarea de beneficii suplimentare, de resortul întreținerii și repararea mijloacelor tehnice de pază și a sistemelor de alarmare împotriva efracției, asigurarea pazei transporturilor de valori importante, înființarea și deservirea dispeceratelor de zonă pentru semnalarea pătrunderilor prin efracție și altele asemenea.   </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Emite decizii cu caracter obligatoriu pentru întregul personal din subordine.</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Urmărește execuția cheltuielilor prevăzute în bugetul alocat și informează periodic Primarul Sectorului 2 al Municipiului București despre modul de realizare al acesteia și propune măsurile necesare de luat atunci când constată că se încalcă prevederile legale.</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lastRenderedPageBreak/>
        <w:t>Coordonează activitatea de gestionare a valorilor materiale și a fondurilor bănești ale instituției, exercitarea Controlului Financiar Preventiv Propriu, pentru plățile efectuate din bugetul instituției.</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Execută dispozițiile Primarului Sectorului 2 referitoare la atribuțiile ce revin Poliției Locale Sector 2.</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Urmărește respectarea Hotărârilor Consiliului Local al Sectorului 2 care intră în competența Poliției Locale Sector 2.</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Analizează periodic împreună cu șefii de compartimente stadiul realizării sarcinilor de serviciu, condițiile de lucru și modul de respectare a obligațiilor ce revin diferitelor compartimente.</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Numește și eliberează din funcție personalul instituției, în condițiile prevăzute de lege.</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Aprobă statele de plată ale salariaților unității și a altor sporuri prevăzute de lege.</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Asigură cunoașterea, însușirea și respectarea prevederilor legale în vigoare și a hotărârilor Consiliului Local al Sectorului 2 referitoare la activitățile și atribuțiile specifice Poliției Locale Sector 2.</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Interzice întreprinderea oricăror acțiuni care nu au legătură cu îndeplinirea atribuțiilor de serviciu.</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 xml:space="preserve">Îndeplinește </w:t>
      </w:r>
      <w:r w:rsidRPr="002F50DC">
        <w:rPr>
          <w:rFonts w:ascii="Times New Roman" w:hAnsi="Times New Roman"/>
          <w:i/>
        </w:rPr>
        <w:t>orice alte atribuții</w:t>
      </w:r>
      <w:r w:rsidRPr="002F50DC">
        <w:rPr>
          <w:rFonts w:ascii="Times New Roman" w:hAnsi="Times New Roman"/>
        </w:rPr>
        <w:t xml:space="preserve"> care au legătură cu atribuţiile de serviciu stabilite prin lege.</w:t>
      </w:r>
    </w:p>
    <w:p w:rsid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 xml:space="preserve">Îndeplineşte </w:t>
      </w:r>
      <w:r w:rsidRPr="002F50DC">
        <w:rPr>
          <w:rFonts w:ascii="Times New Roman" w:hAnsi="Times New Roman"/>
          <w:i/>
        </w:rPr>
        <w:t>orice altă sarcină</w:t>
      </w:r>
      <w:r w:rsidRPr="002F50DC">
        <w:rPr>
          <w:rFonts w:ascii="Times New Roman" w:hAnsi="Times New Roman"/>
        </w:rPr>
        <w:t xml:space="preserve"> profesională, care are legătură cu atribuţiile, solicitată de Primarul Sectorului 2 sau de Consiliul Local al Sectorului 2. În absenţa Directorului general, atribuţiile acestuia se exercită de către Directorul adjunct, pe baza unei decizii scrise.</w:t>
      </w:r>
    </w:p>
    <w:p w:rsidR="00743D3E" w:rsidRPr="002F50DC" w:rsidRDefault="00743D3E" w:rsidP="00743D3E">
      <w:pPr>
        <w:ind w:left="450"/>
        <w:jc w:val="both"/>
        <w:rPr>
          <w:rFonts w:ascii="Times New Roman" w:hAnsi="Times New Roman"/>
        </w:rPr>
      </w:pPr>
    </w:p>
    <w:p w:rsidR="00743D3E" w:rsidRPr="00743D3E" w:rsidRDefault="00743D3E" w:rsidP="00743D3E">
      <w:pPr>
        <w:contextualSpacing/>
        <w:jc w:val="both"/>
        <w:rPr>
          <w:rFonts w:ascii="Times New Roman" w:hAnsi="Times New Roman"/>
          <w:b/>
          <w:bCs/>
        </w:rPr>
      </w:pPr>
      <w:r>
        <w:rPr>
          <w:rFonts w:ascii="Times New Roman" w:hAnsi="Times New Roman"/>
          <w:b/>
          <w:bCs/>
        </w:rPr>
        <w:t xml:space="preserve">B. </w:t>
      </w:r>
      <w:r w:rsidRPr="00743D3E">
        <w:rPr>
          <w:rFonts w:ascii="Times New Roman" w:hAnsi="Times New Roman"/>
          <w:b/>
          <w:bCs/>
        </w:rPr>
        <w:t>Atribuții conducător auto:</w:t>
      </w:r>
    </w:p>
    <w:p w:rsidR="00743D3E" w:rsidRPr="00743D3E" w:rsidRDefault="00743D3E" w:rsidP="00743D3E">
      <w:pPr>
        <w:numPr>
          <w:ilvl w:val="0"/>
          <w:numId w:val="4"/>
        </w:numPr>
        <w:tabs>
          <w:tab w:val="left" w:pos="450"/>
        </w:tabs>
        <w:ind w:left="450" w:hanging="270"/>
        <w:jc w:val="both"/>
        <w:rPr>
          <w:rFonts w:ascii="Times New Roman" w:hAnsi="Times New Roman"/>
        </w:rPr>
      </w:pPr>
      <w:r w:rsidRPr="00743D3E">
        <w:rPr>
          <w:rFonts w:ascii="Times New Roman" w:hAnsi="Times New Roman"/>
        </w:rPr>
        <w:t>Conducătorii auto au obligația ca, pentru asigurarea condițiilor tehnice ale autovehiculelor, să verifice existența inspecției tehnice periodice, existența și funcționarea oglinzilor retrovizoare, ușile să fie în bună stare de funcționare.</w:t>
      </w:r>
    </w:p>
    <w:p w:rsidR="00743D3E" w:rsidRPr="00743D3E" w:rsidRDefault="00743D3E" w:rsidP="00743D3E">
      <w:pPr>
        <w:numPr>
          <w:ilvl w:val="0"/>
          <w:numId w:val="4"/>
        </w:numPr>
        <w:tabs>
          <w:tab w:val="left" w:pos="450"/>
        </w:tabs>
        <w:ind w:left="450" w:hanging="270"/>
        <w:jc w:val="both"/>
        <w:rPr>
          <w:rFonts w:ascii="Times New Roman" w:hAnsi="Times New Roman"/>
        </w:rPr>
      </w:pPr>
      <w:r w:rsidRPr="00743D3E">
        <w:rPr>
          <w:rFonts w:ascii="Times New Roman" w:hAnsi="Times New Roman"/>
        </w:rPr>
        <w:t>Verifică existența dotărilor speciale pentru PSI, prim ajutor și antiderapaj.</w:t>
      </w:r>
    </w:p>
    <w:p w:rsidR="00743D3E" w:rsidRPr="00743D3E" w:rsidRDefault="00743D3E" w:rsidP="00743D3E">
      <w:pPr>
        <w:numPr>
          <w:ilvl w:val="0"/>
          <w:numId w:val="4"/>
        </w:numPr>
        <w:tabs>
          <w:tab w:val="left" w:pos="450"/>
        </w:tabs>
        <w:ind w:left="450" w:hanging="270"/>
        <w:jc w:val="both"/>
        <w:rPr>
          <w:rFonts w:ascii="Times New Roman" w:hAnsi="Times New Roman"/>
        </w:rPr>
      </w:pPr>
      <w:r w:rsidRPr="00743D3E">
        <w:rPr>
          <w:rFonts w:ascii="Times New Roman" w:hAnsi="Times New Roman"/>
        </w:rPr>
        <w:t>Semnalează eventualele defecțiuni.</w:t>
      </w:r>
    </w:p>
    <w:p w:rsidR="00743D3E" w:rsidRPr="00743D3E" w:rsidRDefault="00743D3E" w:rsidP="00743D3E">
      <w:pPr>
        <w:numPr>
          <w:ilvl w:val="0"/>
          <w:numId w:val="4"/>
        </w:numPr>
        <w:tabs>
          <w:tab w:val="left" w:pos="450"/>
        </w:tabs>
        <w:ind w:left="450" w:hanging="270"/>
        <w:jc w:val="both"/>
        <w:rPr>
          <w:rFonts w:ascii="Times New Roman" w:hAnsi="Times New Roman"/>
        </w:rPr>
      </w:pPr>
      <w:r w:rsidRPr="00743D3E">
        <w:rPr>
          <w:rFonts w:ascii="Times New Roman" w:hAnsi="Times New Roman"/>
        </w:rPr>
        <w:t>Se interzice părăsirea autovehiculului cu motorul în funcțiune.</w:t>
      </w:r>
    </w:p>
    <w:p w:rsidR="00743D3E" w:rsidRPr="00743D3E" w:rsidRDefault="00743D3E" w:rsidP="00743D3E">
      <w:pPr>
        <w:numPr>
          <w:ilvl w:val="0"/>
          <w:numId w:val="4"/>
        </w:numPr>
        <w:tabs>
          <w:tab w:val="left" w:pos="450"/>
        </w:tabs>
        <w:ind w:left="450" w:hanging="270"/>
        <w:jc w:val="both"/>
        <w:rPr>
          <w:rFonts w:ascii="Times New Roman" w:hAnsi="Times New Roman"/>
        </w:rPr>
      </w:pPr>
      <w:r w:rsidRPr="00743D3E">
        <w:rPr>
          <w:rFonts w:ascii="Times New Roman" w:hAnsi="Times New Roman"/>
        </w:rPr>
        <w:t>Să respecte viteza de circulație stabilită prin “Regulamentul privind circulația pe drumurile publice” și să o adapteze la condițiile meteo.</w:t>
      </w:r>
    </w:p>
    <w:p w:rsidR="00743D3E" w:rsidRPr="00743D3E" w:rsidRDefault="00743D3E" w:rsidP="00743D3E">
      <w:pPr>
        <w:numPr>
          <w:ilvl w:val="0"/>
          <w:numId w:val="4"/>
        </w:numPr>
        <w:tabs>
          <w:tab w:val="left" w:pos="450"/>
        </w:tabs>
        <w:ind w:left="450" w:hanging="270"/>
        <w:jc w:val="both"/>
        <w:rPr>
          <w:rFonts w:ascii="Times New Roman" w:hAnsi="Times New Roman"/>
        </w:rPr>
      </w:pPr>
      <w:r w:rsidRPr="00743D3E">
        <w:rPr>
          <w:rFonts w:ascii="Times New Roman" w:hAnsi="Times New Roman"/>
        </w:rPr>
        <w:t>Dacă stingătorul din dotarea mașinii a fost folosit la stingerea unui incendiu să informeze și să  solicite înlocuirea acestuia.</w:t>
      </w:r>
    </w:p>
    <w:p w:rsidR="00743D3E" w:rsidRPr="00743D3E" w:rsidRDefault="00743D3E" w:rsidP="00743D3E">
      <w:pPr>
        <w:numPr>
          <w:ilvl w:val="0"/>
          <w:numId w:val="4"/>
        </w:numPr>
        <w:tabs>
          <w:tab w:val="left" w:pos="450"/>
        </w:tabs>
        <w:ind w:left="450" w:hanging="270"/>
        <w:jc w:val="both"/>
        <w:rPr>
          <w:rFonts w:ascii="Times New Roman" w:hAnsi="Times New Roman"/>
        </w:rPr>
      </w:pPr>
      <w:r w:rsidRPr="00743D3E">
        <w:rPr>
          <w:rFonts w:ascii="Times New Roman" w:hAnsi="Times New Roman"/>
        </w:rPr>
        <w:t>Se interzice persoanelor aflate într-o stare avansată de oboseală conducerea autovehiculelor.</w:t>
      </w:r>
    </w:p>
    <w:p w:rsidR="00743D3E" w:rsidRPr="00743D3E" w:rsidRDefault="00743D3E" w:rsidP="00743D3E">
      <w:pPr>
        <w:numPr>
          <w:ilvl w:val="0"/>
          <w:numId w:val="4"/>
        </w:numPr>
        <w:tabs>
          <w:tab w:val="left" w:pos="450"/>
        </w:tabs>
        <w:ind w:left="450" w:hanging="270"/>
        <w:jc w:val="both"/>
        <w:rPr>
          <w:rFonts w:ascii="Times New Roman" w:hAnsi="Times New Roman"/>
        </w:rPr>
      </w:pPr>
      <w:r w:rsidRPr="00743D3E">
        <w:rPr>
          <w:rFonts w:ascii="Times New Roman" w:hAnsi="Times New Roman"/>
        </w:rPr>
        <w:t>Să respecte cu strictețe legislația rutieră.</w:t>
      </w:r>
    </w:p>
    <w:p w:rsidR="00A84EDC" w:rsidRPr="00E70416" w:rsidRDefault="00A84EDC" w:rsidP="00DC0387">
      <w:pPr>
        <w:tabs>
          <w:tab w:val="left" w:pos="1350"/>
        </w:tabs>
        <w:jc w:val="center"/>
        <w:rPr>
          <w:rFonts w:ascii="Times New Roman" w:hAnsi="Times New Roman"/>
          <w:b/>
          <w:sz w:val="28"/>
          <w:szCs w:val="28"/>
        </w:rPr>
      </w:pPr>
    </w:p>
    <w:sectPr w:rsidR="00A84EDC" w:rsidRPr="00E70416" w:rsidSect="007D21E8">
      <w:headerReference w:type="even" r:id="rId9"/>
      <w:headerReference w:type="default" r:id="rId10"/>
      <w:footerReference w:type="even" r:id="rId11"/>
      <w:footerReference w:type="default" r:id="rId12"/>
      <w:headerReference w:type="first" r:id="rId13"/>
      <w:footerReference w:type="first" r:id="rId14"/>
      <w:pgSz w:w="12240" w:h="15840"/>
      <w:pgMar w:top="142" w:right="1474" w:bottom="1134" w:left="1474" w:header="284"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68D" w:rsidRDefault="0065068D" w:rsidP="00721DC5">
      <w:r>
        <w:separator/>
      </w:r>
    </w:p>
  </w:endnote>
  <w:endnote w:type="continuationSeparator" w:id="0">
    <w:p w:rsidR="0065068D" w:rsidRDefault="0065068D"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7A5" w:rsidRDefault="005447A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7A5" w:rsidRDefault="005447A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7A5" w:rsidRDefault="005447A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68D" w:rsidRDefault="0065068D" w:rsidP="00721DC5">
      <w:r>
        <w:separator/>
      </w:r>
    </w:p>
  </w:footnote>
  <w:footnote w:type="continuationSeparator" w:id="0">
    <w:p w:rsidR="0065068D" w:rsidRDefault="0065068D"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7A5" w:rsidRDefault="005447A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C5" w:rsidRDefault="002F50DC">
    <w:pPr>
      <w:pStyle w:val="Antet"/>
    </w:pPr>
    <w:r>
      <w:rPr>
        <w:noProof/>
        <w:lang w:eastAsia="ro-RO"/>
      </w:rPr>
      <mc:AlternateContent>
        <mc:Choice Requires="wps">
          <w:drawing>
            <wp:anchor distT="0" distB="0" distL="114300" distR="114300" simplePos="0" relativeHeight="251660288" behindDoc="0" locked="0" layoutInCell="1" allowOverlap="1">
              <wp:simplePos x="0" y="0"/>
              <wp:positionH relativeFrom="column">
                <wp:posOffset>1185545</wp:posOffset>
              </wp:positionH>
              <wp:positionV relativeFrom="paragraph">
                <wp:posOffset>818515</wp:posOffset>
              </wp:positionV>
              <wp:extent cx="4751070" cy="318135"/>
              <wp:effectExtent l="0" t="0" r="0" b="5715"/>
              <wp:wrapNone/>
              <wp:docPr id="30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070" cy="318135"/>
                      </a:xfrm>
                      <a:prstGeom prst="rect">
                        <a:avLst/>
                      </a:prstGeom>
                      <a:noFill/>
                      <a:ln w="9525">
                        <a:noFill/>
                        <a:miter lim="800000"/>
                        <a:headEnd/>
                        <a:tailEnd/>
                      </a:ln>
                    </wps:spPr>
                    <wps:txbx>
                      <w:txbxContent>
                        <w:p w:rsidR="002C1211" w:rsidRPr="00832FE0" w:rsidRDefault="002C1211" w:rsidP="002C1211">
                          <w:pPr>
                            <w:jc w:val="center"/>
                            <w:rPr>
                              <w:rFonts w:ascii="Times New Roman" w:hAnsi="Times New Roman"/>
                              <w:b/>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asetă text 2" o:spid="_x0000_s1026" type="#_x0000_t202" style="position:absolute;margin-left:93.35pt;margin-top:64.45pt;width:374.1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Dc&#10;UjbUEwIAAPgDAAAOAAAAAAAAAAAAAAAAAC4CAABkcnMvZTJvRG9jLnhtbFBLAQItABQABgAIAAAA&#10;IQC8n4J13gAAAAsBAAAPAAAAAAAAAAAAAAAAAG0EAABkcnMvZG93bnJldi54bWxQSwUGAAAAAAQA&#10;BADzAAAAeAUAAAAA&#10;" filled="f" stroked="f">
              <v:textbox>
                <w:txbxContent>
                  <w:p w:rsidR="002C1211" w:rsidRPr="00832FE0" w:rsidRDefault="002C1211" w:rsidP="002C1211">
                    <w:pPr>
                      <w:jc w:val="center"/>
                      <w:rPr>
                        <w:rFonts w:ascii="Times New Roman" w:hAnsi="Times New Roman"/>
                        <w:b/>
                        <w:sz w:val="28"/>
                        <w:szCs w:val="28"/>
                        <w:lang w:val="en-US"/>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7A5" w:rsidRDefault="005447A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46678"/>
    <w:multiLevelType w:val="hybridMultilevel"/>
    <w:tmpl w:val="77961C5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6CF12AB4"/>
    <w:multiLevelType w:val="hybridMultilevel"/>
    <w:tmpl w:val="AE0EF1AC"/>
    <w:lvl w:ilvl="0" w:tplc="06C8A982">
      <w:start w:val="1"/>
      <w:numFmt w:val="decimal"/>
      <w:lvlText w:val="%1."/>
      <w:lvlJc w:val="left"/>
      <w:pPr>
        <w:ind w:left="108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nsid w:val="777A5311"/>
    <w:multiLevelType w:val="hybridMultilevel"/>
    <w:tmpl w:val="B760689E"/>
    <w:lvl w:ilvl="0" w:tplc="09BCE582">
      <w:start w:val="1"/>
      <w:numFmt w:val="decimal"/>
      <w:lvlText w:val="%1."/>
      <w:lvlJc w:val="left"/>
      <w:pPr>
        <w:tabs>
          <w:tab w:val="num" w:pos="720"/>
        </w:tabs>
        <w:ind w:left="720" w:hanging="360"/>
      </w:pPr>
      <w:rPr>
        <w:b/>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7CE0634A"/>
    <w:multiLevelType w:val="hybridMultilevel"/>
    <w:tmpl w:val="9530CBD8"/>
    <w:lvl w:ilvl="0" w:tplc="0B7276F6">
      <w:start w:val="1"/>
      <w:numFmt w:val="decimal"/>
      <w:lvlText w:val="%1."/>
      <w:lvlJc w:val="left"/>
      <w:pPr>
        <w:tabs>
          <w:tab w:val="num" w:pos="630"/>
        </w:tabs>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83D"/>
    <w:rsid w:val="000C15D5"/>
    <w:rsid w:val="000E5008"/>
    <w:rsid w:val="00243CA5"/>
    <w:rsid w:val="002C1211"/>
    <w:rsid w:val="002F50DC"/>
    <w:rsid w:val="003A085F"/>
    <w:rsid w:val="003B6D64"/>
    <w:rsid w:val="00457B44"/>
    <w:rsid w:val="0046339A"/>
    <w:rsid w:val="004A7EB0"/>
    <w:rsid w:val="00506380"/>
    <w:rsid w:val="00531EB6"/>
    <w:rsid w:val="005447A5"/>
    <w:rsid w:val="005A3786"/>
    <w:rsid w:val="005F39D3"/>
    <w:rsid w:val="00606906"/>
    <w:rsid w:val="006100CA"/>
    <w:rsid w:val="00631C27"/>
    <w:rsid w:val="0065068D"/>
    <w:rsid w:val="0068283D"/>
    <w:rsid w:val="006E4724"/>
    <w:rsid w:val="00721DC5"/>
    <w:rsid w:val="00734BAB"/>
    <w:rsid w:val="00743D3E"/>
    <w:rsid w:val="007D21E8"/>
    <w:rsid w:val="007E3C02"/>
    <w:rsid w:val="00846EAB"/>
    <w:rsid w:val="009124EA"/>
    <w:rsid w:val="00A20580"/>
    <w:rsid w:val="00A243F3"/>
    <w:rsid w:val="00A84EDC"/>
    <w:rsid w:val="00B004DA"/>
    <w:rsid w:val="00B76BC9"/>
    <w:rsid w:val="00BE519F"/>
    <w:rsid w:val="00C50F69"/>
    <w:rsid w:val="00DC0387"/>
    <w:rsid w:val="00DE6C32"/>
    <w:rsid w:val="00DE7D82"/>
    <w:rsid w:val="00E2240F"/>
    <w:rsid w:val="00E70416"/>
    <w:rsid w:val="00E77B46"/>
    <w:rsid w:val="00E97365"/>
    <w:rsid w:val="00EB42C5"/>
    <w:rsid w:val="00EC52E6"/>
    <w:rsid w:val="00F334E5"/>
    <w:rsid w:val="00FC3BA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1361</Words>
  <Characters>7896</Characters>
  <Application>Microsoft Office Word</Application>
  <DocSecurity>0</DocSecurity>
  <Lines>65</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2021-12-13T05:35:00Z</dcterms:created>
  <dcterms:modified xsi:type="dcterms:W3CDTF">2021-12-13T05:35:00Z</dcterms:modified>
</cp:coreProperties>
</file>