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12" w:rsidRPr="009B4110" w:rsidRDefault="002C4F99" w:rsidP="00741595">
      <w:pPr>
        <w:pStyle w:val="Default"/>
        <w:tabs>
          <w:tab w:val="left" w:pos="1843"/>
        </w:tabs>
        <w:rPr>
          <w:rFonts w:ascii="Times New Roman" w:hAnsi="Times New Roman" w:cs="Times New Roman"/>
          <w:b/>
          <w:bCs/>
          <w:i/>
          <w:iCs/>
          <w:sz w:val="28"/>
          <w:szCs w:val="28"/>
          <w:lang w:val="en-US"/>
        </w:rPr>
      </w:pPr>
      <w:r>
        <w:rPr>
          <w:rFonts w:ascii="Times New Roman" w:hAnsi="Times New Roman" w:cs="Times New Roman"/>
          <w:b/>
          <w:bCs/>
          <w:i/>
          <w:iCs/>
          <w:sz w:val="28"/>
          <w:szCs w:val="28"/>
        </w:rPr>
        <w:t xml:space="preserve"> </w:t>
      </w:r>
      <w:r w:rsidR="00C73E30" w:rsidRPr="00C73E30">
        <w:rPr>
          <w:rFonts w:ascii="Arial" w:hAnsi="Arial" w:cs="Times New Roman"/>
          <w:noProof/>
          <w:color w:val="auto"/>
          <w:lang w:val="en-US"/>
        </w:rPr>
        <w:drawing>
          <wp:inline distT="0" distB="0" distL="0" distR="0" wp14:anchorId="63B89035" wp14:editId="3A812F66">
            <wp:extent cx="5940425" cy="1104944"/>
            <wp:effectExtent l="0" t="0" r="317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1104944"/>
                    </a:xfrm>
                    <a:prstGeom prst="rect">
                      <a:avLst/>
                    </a:prstGeom>
                  </pic:spPr>
                </pic:pic>
              </a:graphicData>
            </a:graphic>
          </wp:inline>
        </w:drawing>
      </w:r>
    </w:p>
    <w:p w:rsidR="00B2520C" w:rsidRDefault="00B2520C" w:rsidP="00815BF4">
      <w:pPr>
        <w:pStyle w:val="Default"/>
        <w:ind w:left="284" w:hanging="710"/>
        <w:jc w:val="center"/>
        <w:rPr>
          <w:rFonts w:ascii="Times New Roman" w:hAnsi="Times New Roman" w:cs="Times New Roman"/>
          <w:b/>
          <w:bCs/>
          <w:i/>
          <w:iCs/>
          <w:sz w:val="28"/>
          <w:szCs w:val="28"/>
        </w:rPr>
      </w:pPr>
      <w:r>
        <w:rPr>
          <w:rFonts w:ascii="Times New Roman" w:hAnsi="Times New Roman" w:cs="Times New Roman"/>
          <w:b/>
          <w:bCs/>
          <w:i/>
          <w:iCs/>
        </w:rPr>
        <w:t xml:space="preserve">         </w:t>
      </w:r>
      <w:r>
        <w:rPr>
          <w:rFonts w:ascii="Times New Roman" w:hAnsi="Times New Roman" w:cs="Times New Roman"/>
          <w:b/>
          <w:bCs/>
          <w:i/>
          <w:iCs/>
          <w:sz w:val="28"/>
          <w:szCs w:val="28"/>
        </w:rPr>
        <w:tab/>
      </w:r>
    </w:p>
    <w:p w:rsidR="00741595" w:rsidRPr="00815BF4" w:rsidRDefault="00741595" w:rsidP="00741595">
      <w:pPr>
        <w:pStyle w:val="Default"/>
        <w:ind w:left="720"/>
        <w:jc w:val="center"/>
        <w:rPr>
          <w:rFonts w:ascii="Times New Roman" w:hAnsi="Times New Roman" w:cs="Times New Roman"/>
          <w:b/>
          <w:bCs/>
          <w:i/>
          <w:iCs/>
        </w:rPr>
      </w:pPr>
      <w:r w:rsidRPr="00815BF4">
        <w:rPr>
          <w:rFonts w:ascii="Times New Roman" w:hAnsi="Times New Roman" w:cs="Times New Roman"/>
          <w:b/>
          <w:bCs/>
          <w:i/>
          <w:iCs/>
        </w:rPr>
        <w:t>BIBLIOGRAFIE</w:t>
      </w:r>
    </w:p>
    <w:p w:rsidR="00741595" w:rsidRPr="00815BF4" w:rsidRDefault="00741595" w:rsidP="00741595">
      <w:pPr>
        <w:pStyle w:val="Default"/>
        <w:jc w:val="center"/>
        <w:rPr>
          <w:rFonts w:ascii="Times New Roman" w:hAnsi="Times New Roman" w:cs="Times New Roman"/>
          <w:b/>
          <w:bCs/>
          <w:i/>
          <w:iCs/>
        </w:rPr>
      </w:pPr>
      <w:r w:rsidRPr="00815BF4">
        <w:rPr>
          <w:rFonts w:ascii="Times New Roman" w:hAnsi="Times New Roman" w:cs="Times New Roman"/>
          <w:b/>
          <w:bCs/>
          <w:i/>
          <w:iCs/>
        </w:rPr>
        <w:t xml:space="preserve">pentru ocuparea funcţiilor contractuale de Consilier SIA </w:t>
      </w:r>
      <w:r w:rsidRPr="00815BF4">
        <w:rPr>
          <w:rFonts w:ascii="Times New Roman" w:hAnsi="Times New Roman" w:cs="Times New Roman"/>
          <w:b/>
          <w:bCs/>
          <w:i/>
          <w:iCs/>
          <w:lang w:val="en-US"/>
        </w:rPr>
        <w:t>(cu atribuţii în domeniul IT conform fişei postului CIP 12 şi CIP 13)</w:t>
      </w:r>
      <w:r w:rsidRPr="00815BF4">
        <w:rPr>
          <w:rFonts w:ascii="Times New Roman" w:hAnsi="Times New Roman" w:cs="Times New Roman"/>
          <w:b/>
          <w:bCs/>
          <w:i/>
          <w:iCs/>
        </w:rPr>
        <w:t xml:space="preserve"> pe perioadă determinată</w:t>
      </w:r>
      <w:r w:rsidRPr="00815BF4">
        <w:rPr>
          <w:rFonts w:ascii="Times New Roman" w:hAnsi="Times New Roman" w:cs="Times New Roman"/>
          <w:b/>
          <w:i/>
          <w:color w:val="auto"/>
          <w:lang w:val="en-US" w:eastAsia="ro-RO"/>
        </w:rPr>
        <w:t xml:space="preserve"> de </w:t>
      </w:r>
      <w:r w:rsidRPr="00815BF4">
        <w:rPr>
          <w:rFonts w:ascii="Times New Roman" w:hAnsi="Times New Roman" w:cs="Times New Roman"/>
          <w:b/>
          <w:bCs/>
          <w:i/>
          <w:iCs/>
        </w:rPr>
        <w:t>la Compartimentul Implementare Proiecte</w:t>
      </w:r>
    </w:p>
    <w:p w:rsidR="00815BF4" w:rsidRDefault="00815BF4" w:rsidP="00CA3A47">
      <w:pPr>
        <w:autoSpaceDE w:val="0"/>
        <w:autoSpaceDN w:val="0"/>
        <w:adjustRightInd w:val="0"/>
        <w:jc w:val="both"/>
        <w:rPr>
          <w:b/>
          <w:bCs/>
          <w:iCs/>
        </w:rPr>
      </w:pPr>
    </w:p>
    <w:p w:rsidR="00CA3A47" w:rsidRPr="00CA3A47" w:rsidRDefault="00CA3A47" w:rsidP="00CA3A47">
      <w:pPr>
        <w:autoSpaceDE w:val="0"/>
        <w:autoSpaceDN w:val="0"/>
        <w:adjustRightInd w:val="0"/>
        <w:jc w:val="both"/>
        <w:rPr>
          <w:b/>
        </w:rPr>
      </w:pPr>
      <w:r w:rsidRPr="00CA3A47">
        <w:rPr>
          <w:b/>
          <w:bCs/>
          <w:iCs/>
        </w:rPr>
        <w:t>1.</w:t>
      </w:r>
      <w:r w:rsidR="00815BF4">
        <w:rPr>
          <w:b/>
        </w:rPr>
        <w:t xml:space="preserve"> </w:t>
      </w:r>
      <w:r w:rsidRPr="00CA3A47">
        <w:rPr>
          <w:b/>
          <w:i/>
        </w:rPr>
        <w:t>Constituția României</w:t>
      </w:r>
      <w:r w:rsidRPr="00CA3A47">
        <w:rPr>
          <w:b/>
          <w:bCs/>
        </w:rPr>
        <w:t>, republicată</w:t>
      </w:r>
    </w:p>
    <w:p w:rsidR="00CA3A47" w:rsidRPr="00CA3A47" w:rsidRDefault="00CA3A47" w:rsidP="00CA3A47">
      <w:pPr>
        <w:autoSpaceDE w:val="0"/>
        <w:autoSpaceDN w:val="0"/>
        <w:adjustRightInd w:val="0"/>
        <w:jc w:val="both"/>
        <w:rPr>
          <w:b/>
        </w:rPr>
      </w:pPr>
      <w:r w:rsidRPr="00CA3A47">
        <w:rPr>
          <w:b/>
        </w:rPr>
        <w:t xml:space="preserve">2. </w:t>
      </w:r>
      <w:r w:rsidRPr="00CA3A47">
        <w:rPr>
          <w:b/>
          <w:i/>
          <w:iCs/>
        </w:rPr>
        <w:t xml:space="preserve">OUG </w:t>
      </w:r>
      <w:r w:rsidRPr="00CA3A47">
        <w:rPr>
          <w:b/>
          <w:i/>
        </w:rPr>
        <w:t>nr. 57/2019</w:t>
      </w:r>
      <w:r w:rsidRPr="00CA3A47">
        <w:t xml:space="preserve">  privind  Codul  administrativ,  cu  modificările și completările ulterioare:</w:t>
      </w:r>
      <w:r w:rsidRPr="00CA3A47">
        <w:rPr>
          <w:b/>
        </w:rPr>
        <w:t xml:space="preserve"> </w:t>
      </w:r>
    </w:p>
    <w:p w:rsidR="00CA3A47" w:rsidRPr="00CA3A47" w:rsidRDefault="00CA3A47" w:rsidP="00CA3A47">
      <w:pPr>
        <w:autoSpaceDE w:val="0"/>
        <w:autoSpaceDN w:val="0"/>
        <w:adjustRightInd w:val="0"/>
        <w:jc w:val="both"/>
        <w:rPr>
          <w:b/>
          <w:bCs/>
        </w:rPr>
      </w:pPr>
      <w:r w:rsidRPr="00CA3A47">
        <w:rPr>
          <w:b/>
        </w:rPr>
        <w:tab/>
        <w:t xml:space="preserve">Partea a III-a, </w:t>
      </w:r>
      <w:r w:rsidRPr="00CA3A47">
        <w:rPr>
          <w:b/>
          <w:bCs/>
        </w:rPr>
        <w:t xml:space="preserve">Titlul V – Autoritățile administrației publice locale, </w:t>
      </w:r>
    </w:p>
    <w:p w:rsidR="00CA3A47" w:rsidRPr="00CA3A47" w:rsidRDefault="00CA3A47" w:rsidP="00CA3A47">
      <w:pPr>
        <w:autoSpaceDE w:val="0"/>
        <w:autoSpaceDN w:val="0"/>
        <w:adjustRightInd w:val="0"/>
        <w:jc w:val="both"/>
        <w:rPr>
          <w:b/>
          <w:bCs/>
        </w:rPr>
      </w:pPr>
      <w:r w:rsidRPr="00CA3A47">
        <w:rPr>
          <w:b/>
          <w:bCs/>
        </w:rPr>
        <w:tab/>
      </w:r>
      <w:r w:rsidRPr="00CA3A47">
        <w:rPr>
          <w:b/>
          <w:bCs/>
        </w:rPr>
        <w:tab/>
      </w:r>
      <w:r w:rsidRPr="00CA3A47">
        <w:rPr>
          <w:b/>
          <w:bCs/>
        </w:rPr>
        <w:tab/>
        <w:t xml:space="preserve">  Capitolul V – Administrația publica a Municipiului București;</w:t>
      </w:r>
    </w:p>
    <w:p w:rsidR="00CA3A47" w:rsidRPr="00CA3A47" w:rsidRDefault="00CA3A47" w:rsidP="00CA3A47">
      <w:pPr>
        <w:autoSpaceDE w:val="0"/>
        <w:autoSpaceDN w:val="0"/>
        <w:adjustRightInd w:val="0"/>
        <w:jc w:val="both"/>
        <w:rPr>
          <w:bCs/>
        </w:rPr>
      </w:pPr>
      <w:r w:rsidRPr="00CA3A47">
        <w:rPr>
          <w:b/>
          <w:bCs/>
        </w:rPr>
        <w:tab/>
      </w:r>
      <w:r w:rsidRPr="00CA3A47">
        <w:rPr>
          <w:b/>
        </w:rPr>
        <w:t>Partea a VI-a</w:t>
      </w:r>
      <w:r w:rsidRPr="00CA3A47">
        <w:t xml:space="preserve">, </w:t>
      </w:r>
      <w:r w:rsidRPr="00CA3A47">
        <w:rPr>
          <w:b/>
          <w:bCs/>
        </w:rPr>
        <w:t>Titlul I</w:t>
      </w:r>
      <w:r w:rsidRPr="00CA3A47">
        <w:rPr>
          <w:bCs/>
        </w:rPr>
        <w:t xml:space="preserve">- Dispoziţii generale </w:t>
      </w:r>
    </w:p>
    <w:p w:rsidR="00CA3A47" w:rsidRPr="00CA3A47" w:rsidRDefault="00CA3A47" w:rsidP="00CA3A47">
      <w:pPr>
        <w:autoSpaceDE w:val="0"/>
        <w:autoSpaceDN w:val="0"/>
        <w:adjustRightInd w:val="0"/>
        <w:jc w:val="both"/>
      </w:pPr>
      <w:r w:rsidRPr="00CA3A47">
        <w:rPr>
          <w:bCs/>
        </w:rPr>
        <w:tab/>
      </w:r>
      <w:r w:rsidRPr="00CA3A47">
        <w:rPr>
          <w:bCs/>
        </w:rPr>
        <w:tab/>
      </w:r>
      <w:r w:rsidRPr="00CA3A47">
        <w:rPr>
          <w:bCs/>
        </w:rPr>
        <w:tab/>
        <w:t xml:space="preserve">  </w:t>
      </w:r>
      <w:r w:rsidRPr="00CA3A47">
        <w:rPr>
          <w:b/>
          <w:bCs/>
        </w:rPr>
        <w:t>Titlul III</w:t>
      </w:r>
      <w:r w:rsidRPr="00CA3A47">
        <w:rPr>
          <w:bCs/>
        </w:rPr>
        <w:t>- Personalul contractual din autorităţile şi instituţiile publice;</w:t>
      </w:r>
    </w:p>
    <w:p w:rsidR="00CA3A47" w:rsidRPr="00CA3A47" w:rsidRDefault="00CA3A47" w:rsidP="00CA3A47">
      <w:pPr>
        <w:autoSpaceDE w:val="0"/>
        <w:autoSpaceDN w:val="0"/>
        <w:adjustRightInd w:val="0"/>
        <w:jc w:val="both"/>
      </w:pPr>
      <w:r w:rsidRPr="00CA3A47">
        <w:rPr>
          <w:b/>
        </w:rPr>
        <w:t xml:space="preserve">3. </w:t>
      </w:r>
      <w:r w:rsidRPr="00CA3A47">
        <w:rPr>
          <w:b/>
          <w:i/>
          <w:iCs/>
        </w:rPr>
        <w:t>Hotărârea Guvernului</w:t>
      </w:r>
      <w:r w:rsidRPr="00CA3A47">
        <w:rPr>
          <w:b/>
        </w:rPr>
        <w:t xml:space="preserve"> nr. 907/2016</w:t>
      </w:r>
      <w:r w:rsidRPr="00CA3A47">
        <w:t xml:space="preserve"> privind etapele de elaborare si continutul-cadru al documentatiilor tehnico-economice aferente obiectivelor/proiectelor de investitii finantate din fonduri publice, cu modificările şi completările ulterioare;</w:t>
      </w:r>
    </w:p>
    <w:p w:rsidR="00CA3A47" w:rsidRPr="00CA3A47" w:rsidRDefault="00CA3A47" w:rsidP="00CA3A47">
      <w:pPr>
        <w:jc w:val="both"/>
        <w:rPr>
          <w:bCs/>
        </w:rPr>
      </w:pPr>
      <w:r w:rsidRPr="00CA3A47">
        <w:rPr>
          <w:b/>
          <w:bCs/>
        </w:rPr>
        <w:t>4.</w:t>
      </w:r>
      <w:r w:rsidRPr="00CA3A47">
        <w:rPr>
          <w:b/>
        </w:rPr>
        <w:t xml:space="preserve"> </w:t>
      </w:r>
      <w:hyperlink r:id="rId8" w:history="1">
        <w:r w:rsidRPr="00CA3A47">
          <w:rPr>
            <w:rStyle w:val="Hyperlink"/>
            <w:b/>
            <w:bCs/>
            <w:i/>
            <w:color w:val="auto"/>
            <w:u w:val="none"/>
          </w:rPr>
          <w:t xml:space="preserve">Instrucțiunea nr. 41/29.05.2017 </w:t>
        </w:r>
        <w:r w:rsidRPr="00CA3A47">
          <w:rPr>
            <w:rStyle w:val="Hyperlink"/>
            <w:bCs/>
            <w:color w:val="auto"/>
            <w:u w:val="none"/>
          </w:rPr>
          <w:t>privind documentele prezentate de beneficiari la depunerea cererilor de rambursare/ plat</w:t>
        </w:r>
      </w:hyperlink>
      <w:r w:rsidRPr="00CA3A47">
        <w:rPr>
          <w:rStyle w:val="Hyperlink"/>
          <w:bCs/>
          <w:color w:val="auto"/>
          <w:u w:val="none"/>
        </w:rPr>
        <w:t>ă</w:t>
      </w:r>
      <w:r w:rsidRPr="00CA3A47">
        <w:rPr>
          <w:bCs/>
        </w:rPr>
        <w:t xml:space="preserve">, </w:t>
      </w:r>
      <w:hyperlink r:id="rId9" w:history="1">
        <w:r w:rsidRPr="00CA3A47">
          <w:rPr>
            <w:rStyle w:val="Hyperlink"/>
            <w:bCs/>
          </w:rPr>
          <w:t>www.inforegio.ro/ro/implementare/instructiuni</w:t>
        </w:r>
      </w:hyperlink>
      <w:r w:rsidRPr="00CA3A47">
        <w:rPr>
          <w:bCs/>
        </w:rPr>
        <w:t xml:space="preserve"> </w:t>
      </w:r>
    </w:p>
    <w:p w:rsidR="00CA3A47" w:rsidRPr="00CA3A47" w:rsidRDefault="00CA3A47" w:rsidP="00CA3A47">
      <w:pPr>
        <w:jc w:val="both"/>
        <w:rPr>
          <w:bCs/>
        </w:rPr>
      </w:pPr>
      <w:bookmarkStart w:id="0" w:name="_Toc446318569"/>
      <w:bookmarkStart w:id="1" w:name="_Toc446319691"/>
      <w:r w:rsidRPr="00CA3A47">
        <w:rPr>
          <w:b/>
          <w:bCs/>
        </w:rPr>
        <w:t>5</w:t>
      </w:r>
      <w:r w:rsidRPr="00CA3A47">
        <w:rPr>
          <w:bCs/>
        </w:rPr>
        <w:t xml:space="preserve">. </w:t>
      </w:r>
      <w:bookmarkEnd w:id="0"/>
      <w:bookmarkEnd w:id="1"/>
      <w:r w:rsidRPr="00CA3A47">
        <w:rPr>
          <w:b/>
          <w:bCs/>
          <w:i/>
        </w:rPr>
        <w:t>Ordonanța de urgentă  nr. 66</w:t>
      </w:r>
      <w:r w:rsidRPr="00CA3A47">
        <w:rPr>
          <w:bCs/>
        </w:rPr>
        <w:t xml:space="preserve"> </w:t>
      </w:r>
      <w:r w:rsidRPr="00CA3A47">
        <w:rPr>
          <w:b/>
          <w:bCs/>
          <w:i/>
        </w:rPr>
        <w:t>din 29 iunie 2011</w:t>
      </w:r>
      <w:r w:rsidRPr="00CA3A47">
        <w:rPr>
          <w:bCs/>
        </w:rPr>
        <w:t xml:space="preserve"> privind prevenirea, constatarea şi sancţionarea neregulilor apărute în obţinerea şi utilizarea fondurilor europene şi/sau a fondurilor publice naţionale aferente acestora. </w:t>
      </w:r>
    </w:p>
    <w:p w:rsidR="00B50B6F" w:rsidRDefault="00B50B6F" w:rsidP="00CA3A47">
      <w:pPr>
        <w:jc w:val="both"/>
        <w:rPr>
          <w:rStyle w:val="Hyperlink"/>
        </w:rPr>
      </w:pPr>
      <w:r w:rsidRPr="00A524DF">
        <w:rPr>
          <w:b/>
          <w:bCs/>
        </w:rPr>
        <w:t>6</w:t>
      </w:r>
      <w:r>
        <w:rPr>
          <w:bCs/>
        </w:rPr>
        <w:t>.</w:t>
      </w:r>
      <w:r w:rsidRPr="00F74ABD">
        <w:rPr>
          <w:color w:val="000000"/>
          <w:sz w:val="27"/>
          <w:szCs w:val="27"/>
        </w:rPr>
        <w:t xml:space="preserve"> </w:t>
      </w:r>
      <w:r w:rsidRPr="00F74ABD">
        <w:rPr>
          <w:b/>
          <w:i/>
        </w:rPr>
        <w:t>Ghidul Solicitantului pentru  Cererea de proiecte POCA/351/2/1</w:t>
      </w:r>
      <w:r w:rsidRPr="00F74ABD">
        <w:t xml:space="preserve"> (CP10/2018 pentru regiunea mai dezvoltată)- Fundamentarea deciziilor, planificare strategică și măsuri de simplificare pentru cetățeni la nivelul administrației publice locale din regiunea mai dezvoltoltată, </w:t>
      </w:r>
      <w:hyperlink r:id="rId10" w:history="1">
        <w:r>
          <w:rPr>
            <w:rStyle w:val="Hyperlink"/>
          </w:rPr>
          <w:t>http://poca.ro/wp-content/uploads/2016/04/0-Ghidul-solicitantului-CP10_2018-more-lansare-oficiala-04072018-final.doc</w:t>
        </w:r>
      </w:hyperlink>
    </w:p>
    <w:p w:rsidR="00CA3A47" w:rsidRPr="00CA3A47" w:rsidRDefault="00CA3A47" w:rsidP="00CA3A47">
      <w:pPr>
        <w:jc w:val="both"/>
      </w:pPr>
      <w:r w:rsidRPr="00CA3A47">
        <w:rPr>
          <w:b/>
        </w:rPr>
        <w:t>7</w:t>
      </w:r>
      <w:r w:rsidRPr="00CA3A47">
        <w:rPr>
          <w:b/>
          <w:i/>
        </w:rPr>
        <w:t>. OUG nr. 41 din 28 iunie 2016</w:t>
      </w:r>
      <w:r w:rsidRPr="00CA3A47">
        <w:t xml:space="preserve"> privind stabilirea unor măsuri de simplificare la nivelul administraţiei publice centrale şi pentru modificarea şi completarea unor acte normative</w:t>
      </w:r>
    </w:p>
    <w:p w:rsidR="00CA3A47" w:rsidRPr="00CA3A47" w:rsidRDefault="00CA3A47" w:rsidP="00CA3A47">
      <w:pPr>
        <w:jc w:val="both"/>
      </w:pPr>
      <w:r w:rsidRPr="00CA3A47">
        <w:rPr>
          <w:b/>
        </w:rPr>
        <w:t>8</w:t>
      </w:r>
      <w:r w:rsidRPr="00CA3A47">
        <w:t xml:space="preserve">. </w:t>
      </w:r>
      <w:r w:rsidRPr="00CA3A47">
        <w:rPr>
          <w:b/>
          <w:i/>
        </w:rPr>
        <w:t>REGULAMENTUL (UE) nr. 910/2014</w:t>
      </w:r>
      <w:r w:rsidRPr="00CA3A47">
        <w:t xml:space="preserve"> al Parlamentului European și al Consiliului din 23 iulie 2014 privind identificarea electronică și serviciile de încredere pentru tranzacțiile electronice pe piața internă și de abrogare a Directivei 1999/93/CE</w:t>
      </w:r>
    </w:p>
    <w:p w:rsidR="00CA3A47" w:rsidRPr="00CA3A47" w:rsidRDefault="00CA3A47" w:rsidP="00CA3A47">
      <w:pPr>
        <w:jc w:val="both"/>
      </w:pPr>
      <w:r w:rsidRPr="00CA3A47">
        <w:rPr>
          <w:b/>
        </w:rPr>
        <w:t>9.</w:t>
      </w:r>
      <w:r w:rsidRPr="00CA3A47">
        <w:t xml:space="preserve"> </w:t>
      </w:r>
      <w:r w:rsidRPr="00CA3A47">
        <w:rPr>
          <w:b/>
          <w:i/>
        </w:rPr>
        <w:t>DECIZIA DE PUNERE ÎN APLICARE (UE) 2015/1506</w:t>
      </w:r>
      <w:r w:rsidRPr="00CA3A47">
        <w:t xml:space="preserve"> a Comisiei din 8 septembrie 2015 de stabilire a specificațiilor referitoare la formatele semnăturilor și sigiliilor electronice avansate care trebuie recunoscute de către organismele din sectorul public în temeiul articolului 27 alineatul (5) și al articolului 37 alineatul (5) din Regulamentul (UE) nr. 910/2014.</w:t>
      </w:r>
    </w:p>
    <w:p w:rsidR="00CA3A47" w:rsidRPr="00CA3A47" w:rsidRDefault="00CA3A47" w:rsidP="00CA3A47">
      <w:pPr>
        <w:jc w:val="both"/>
      </w:pPr>
      <w:r w:rsidRPr="00CA3A47">
        <w:rPr>
          <w:b/>
        </w:rPr>
        <w:t>10.</w:t>
      </w:r>
      <w:r w:rsidRPr="00CA3A47">
        <w:t xml:space="preserve"> </w:t>
      </w:r>
      <w:r w:rsidRPr="00CA3A47">
        <w:rPr>
          <w:b/>
          <w:i/>
        </w:rPr>
        <w:t>REGULAMENTUL (UE) 2016/679</w:t>
      </w:r>
      <w:r w:rsidRPr="00CA3A47">
        <w:t xml:space="preserve"> privind protecția persoanelor fizice în ceea ce privește prelucrarea datelor cu caracter personal și privind libera circulație a acestor date – GDPR</w:t>
      </w:r>
    </w:p>
    <w:p w:rsidR="00CA3A47" w:rsidRPr="00CA3A47" w:rsidRDefault="00CA3A47" w:rsidP="00CA3A47">
      <w:pPr>
        <w:jc w:val="both"/>
      </w:pPr>
      <w:r w:rsidRPr="00CA3A47">
        <w:rPr>
          <w:b/>
        </w:rPr>
        <w:t>11</w:t>
      </w:r>
      <w:r w:rsidRPr="00CA3A47">
        <w:t xml:space="preserve">. </w:t>
      </w:r>
      <w:r w:rsidRPr="00CA3A47">
        <w:rPr>
          <w:b/>
          <w:i/>
        </w:rPr>
        <w:t>Legea nr. 135 din 15 mai 2007</w:t>
      </w:r>
      <w:r w:rsidRPr="00CA3A47">
        <w:t xml:space="preserve">, republicată, privind arhivarea documentelor în formă </w:t>
      </w:r>
      <w:bookmarkStart w:id="2" w:name="_GoBack"/>
      <w:bookmarkEnd w:id="2"/>
      <w:r w:rsidRPr="00CA3A47">
        <w:t>electronică.</w:t>
      </w:r>
    </w:p>
    <w:p w:rsidR="00CA3A47" w:rsidRPr="00CA3A47" w:rsidRDefault="00CA3A47" w:rsidP="00CA3A47">
      <w:pPr>
        <w:jc w:val="both"/>
      </w:pPr>
      <w:r w:rsidRPr="00CA3A47">
        <w:rPr>
          <w:b/>
        </w:rPr>
        <w:t>12.</w:t>
      </w:r>
      <w:r w:rsidRPr="00CA3A47">
        <w:t xml:space="preserve"> </w:t>
      </w:r>
      <w:r w:rsidRPr="00CA3A47">
        <w:rPr>
          <w:b/>
          <w:i/>
        </w:rPr>
        <w:t>Hotărârea nr. 908 din 14 decembrie 2017</w:t>
      </w:r>
      <w:r w:rsidRPr="00CA3A47">
        <w:t xml:space="preserve"> pentru aprobarea Cadrului Național de Interoperabilitate CNI         </w:t>
      </w:r>
    </w:p>
    <w:p w:rsidR="00CA3A47" w:rsidRPr="00CA3A47" w:rsidRDefault="00CA3A47" w:rsidP="00CA3A47">
      <w:pPr>
        <w:jc w:val="both"/>
        <w:rPr>
          <w:bCs/>
        </w:rPr>
      </w:pPr>
      <w:r w:rsidRPr="00CA3A47">
        <w:rPr>
          <w:b/>
        </w:rPr>
        <w:t>13.</w:t>
      </w:r>
      <w:r w:rsidRPr="00CA3A47">
        <w:rPr>
          <w:lang w:val="it-IT"/>
        </w:rPr>
        <w:t xml:space="preserve"> </w:t>
      </w:r>
      <w:r w:rsidRPr="00CA3A47">
        <w:rPr>
          <w:b/>
          <w:i/>
          <w:lang w:val="it-IT"/>
        </w:rPr>
        <w:t>Atribuţiile</w:t>
      </w:r>
      <w:r w:rsidRPr="00CA3A47">
        <w:rPr>
          <w:i/>
          <w:lang w:val="it-IT"/>
        </w:rPr>
        <w:t xml:space="preserve"> </w:t>
      </w:r>
      <w:r w:rsidRPr="00CA3A47">
        <w:rPr>
          <w:b/>
          <w:i/>
          <w:lang w:val="en-US"/>
        </w:rPr>
        <w:t>Compartimentului Implementare Proiecte</w:t>
      </w:r>
      <w:r w:rsidRPr="00CA3A47">
        <w:rPr>
          <w:lang w:val="it-IT"/>
        </w:rPr>
        <w:t>, din cadrul Direcţiei</w:t>
      </w:r>
      <w:r w:rsidRPr="00CA3A47">
        <w:rPr>
          <w:bCs/>
        </w:rPr>
        <w:t xml:space="preserve"> Management Proiecte, conform Regulamentului de Organizare şi Funcţionarea al Primă</w:t>
      </w:r>
      <w:r w:rsidRPr="00CA3A47">
        <w:rPr>
          <w:lang w:val="it-IT"/>
        </w:rPr>
        <w:t xml:space="preserve">riei </w:t>
      </w:r>
      <w:r w:rsidRPr="00CA3A47">
        <w:rPr>
          <w:bCs/>
        </w:rPr>
        <w:t xml:space="preserve">Sectorului 2, disponibil pe site-ul Primăriei Sectorului 2, </w:t>
      </w:r>
      <w:hyperlink r:id="rId11" w:history="1">
        <w:r w:rsidRPr="00CA3A47">
          <w:rPr>
            <w:color w:val="0563C1"/>
            <w:u w:val="single"/>
          </w:rPr>
          <w:t>www.ps2.ro</w:t>
        </w:r>
      </w:hyperlink>
      <w:r w:rsidRPr="00CA3A47">
        <w:rPr>
          <w:bCs/>
        </w:rPr>
        <w:t>;</w:t>
      </w:r>
    </w:p>
    <w:p w:rsidR="00CA3A47" w:rsidRPr="00CA3A47" w:rsidRDefault="00CA3A47" w:rsidP="00CA3A47">
      <w:pPr>
        <w:rPr>
          <w:b/>
          <w:bCs/>
          <w:i/>
          <w:iCs/>
        </w:rPr>
      </w:pPr>
    </w:p>
    <w:p w:rsidR="00CA3A47" w:rsidRPr="00CA3A47" w:rsidRDefault="00CA3A47" w:rsidP="00CA3A47">
      <w:pPr>
        <w:rPr>
          <w:b/>
          <w:bCs/>
          <w:i/>
          <w:iCs/>
        </w:rPr>
      </w:pPr>
    </w:p>
    <w:p w:rsidR="001664E3" w:rsidRPr="00C6422F" w:rsidRDefault="00F45B06" w:rsidP="001664E3">
      <w:pPr>
        <w:jc w:val="both"/>
        <w:rPr>
          <w:b/>
          <w:bCs/>
          <w:i/>
          <w:iCs/>
          <w:sz w:val="26"/>
          <w:szCs w:val="26"/>
        </w:rPr>
      </w:pPr>
      <w:r>
        <w:rPr>
          <w:b/>
          <w:bCs/>
          <w:i/>
          <w:iCs/>
        </w:rPr>
        <w:t xml:space="preserve">                </w:t>
      </w:r>
    </w:p>
    <w:p w:rsidR="00CA3A47" w:rsidRPr="00C6422F" w:rsidRDefault="00CA3A47" w:rsidP="00F45B06">
      <w:pPr>
        <w:jc w:val="both"/>
        <w:rPr>
          <w:b/>
          <w:bCs/>
          <w:i/>
          <w:iCs/>
          <w:sz w:val="28"/>
          <w:szCs w:val="28"/>
        </w:rPr>
      </w:pPr>
      <w:r w:rsidRPr="00C6422F">
        <w:rPr>
          <w:b/>
          <w:bCs/>
          <w:i/>
          <w:iCs/>
          <w:sz w:val="26"/>
          <w:szCs w:val="26"/>
        </w:rPr>
        <w:tab/>
      </w:r>
      <w:r w:rsidRPr="00C6422F">
        <w:rPr>
          <w:b/>
          <w:bCs/>
          <w:i/>
          <w:iCs/>
          <w:sz w:val="26"/>
          <w:szCs w:val="26"/>
        </w:rPr>
        <w:tab/>
      </w:r>
      <w:r w:rsidRPr="00C6422F">
        <w:rPr>
          <w:b/>
          <w:bCs/>
          <w:i/>
          <w:iCs/>
          <w:sz w:val="26"/>
          <w:szCs w:val="26"/>
        </w:rPr>
        <w:tab/>
      </w:r>
      <w:r w:rsidRPr="00C6422F">
        <w:rPr>
          <w:b/>
          <w:bCs/>
          <w:i/>
          <w:iCs/>
          <w:sz w:val="26"/>
          <w:szCs w:val="26"/>
        </w:rPr>
        <w:tab/>
      </w:r>
      <w:r w:rsidRPr="00C6422F">
        <w:rPr>
          <w:b/>
          <w:bCs/>
          <w:i/>
          <w:iCs/>
          <w:sz w:val="26"/>
          <w:szCs w:val="26"/>
        </w:rPr>
        <w:tab/>
      </w:r>
      <w:r w:rsidRPr="00C6422F">
        <w:rPr>
          <w:b/>
          <w:bCs/>
          <w:i/>
          <w:iCs/>
          <w:sz w:val="26"/>
          <w:szCs w:val="26"/>
        </w:rPr>
        <w:tab/>
        <w:t xml:space="preserve">      </w:t>
      </w:r>
    </w:p>
    <w:p w:rsidR="00B2520C" w:rsidRPr="006C162A" w:rsidRDefault="00B2520C" w:rsidP="00CA3A47">
      <w:pPr>
        <w:autoSpaceDE w:val="0"/>
        <w:autoSpaceDN w:val="0"/>
        <w:adjustRightInd w:val="0"/>
        <w:spacing w:line="360" w:lineRule="auto"/>
        <w:jc w:val="both"/>
        <w:rPr>
          <w:b/>
          <w:bCs/>
          <w:i/>
          <w:iCs/>
        </w:rPr>
      </w:pPr>
    </w:p>
    <w:sectPr w:rsidR="00B2520C" w:rsidRPr="006C162A" w:rsidSect="00CA3A47">
      <w:pgSz w:w="11907" w:h="16840" w:code="9"/>
      <w:pgMar w:top="0" w:right="1134" w:bottom="450" w:left="1418" w:header="34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B9" w:rsidRDefault="00EC38B9" w:rsidP="002D5F2A">
      <w:r>
        <w:separator/>
      </w:r>
    </w:p>
  </w:endnote>
  <w:endnote w:type="continuationSeparator" w:id="0">
    <w:p w:rsidR="00EC38B9" w:rsidRDefault="00EC38B9" w:rsidP="002D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B9" w:rsidRDefault="00EC38B9" w:rsidP="002D5F2A">
      <w:r>
        <w:separator/>
      </w:r>
    </w:p>
  </w:footnote>
  <w:footnote w:type="continuationSeparator" w:id="0">
    <w:p w:rsidR="00EC38B9" w:rsidRDefault="00EC38B9" w:rsidP="002D5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A5F0A"/>
    <w:multiLevelType w:val="hybridMultilevel"/>
    <w:tmpl w:val="6798BAF0"/>
    <w:lvl w:ilvl="0" w:tplc="E8EAE87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12"/>
    <w:rsid w:val="00013D45"/>
    <w:rsid w:val="000221E0"/>
    <w:rsid w:val="000644E7"/>
    <w:rsid w:val="00093762"/>
    <w:rsid w:val="000B40FE"/>
    <w:rsid w:val="000C1ED2"/>
    <w:rsid w:val="000C794E"/>
    <w:rsid w:val="000E6636"/>
    <w:rsid w:val="000F7F85"/>
    <w:rsid w:val="00100A9A"/>
    <w:rsid w:val="001557C1"/>
    <w:rsid w:val="00156312"/>
    <w:rsid w:val="001664E3"/>
    <w:rsid w:val="00186F24"/>
    <w:rsid w:val="00197143"/>
    <w:rsid w:val="001B0C69"/>
    <w:rsid w:val="001B457A"/>
    <w:rsid w:val="001C4E07"/>
    <w:rsid w:val="00207686"/>
    <w:rsid w:val="00242169"/>
    <w:rsid w:val="00292201"/>
    <w:rsid w:val="002A1152"/>
    <w:rsid w:val="002C4F99"/>
    <w:rsid w:val="002D5F2A"/>
    <w:rsid w:val="002E2298"/>
    <w:rsid w:val="002E79D4"/>
    <w:rsid w:val="003023FB"/>
    <w:rsid w:val="0038129B"/>
    <w:rsid w:val="00394599"/>
    <w:rsid w:val="003B1FFC"/>
    <w:rsid w:val="003D21F5"/>
    <w:rsid w:val="003F661F"/>
    <w:rsid w:val="00421E9A"/>
    <w:rsid w:val="00426951"/>
    <w:rsid w:val="004446B4"/>
    <w:rsid w:val="00490724"/>
    <w:rsid w:val="0053064B"/>
    <w:rsid w:val="00565175"/>
    <w:rsid w:val="005A2BBB"/>
    <w:rsid w:val="005A4B1A"/>
    <w:rsid w:val="005D4A26"/>
    <w:rsid w:val="005F6010"/>
    <w:rsid w:val="00601A46"/>
    <w:rsid w:val="00606A62"/>
    <w:rsid w:val="006241AA"/>
    <w:rsid w:val="006434DC"/>
    <w:rsid w:val="00657EAC"/>
    <w:rsid w:val="00682CFC"/>
    <w:rsid w:val="006A5B0C"/>
    <w:rsid w:val="006C1136"/>
    <w:rsid w:val="006C162A"/>
    <w:rsid w:val="00703FA3"/>
    <w:rsid w:val="00741595"/>
    <w:rsid w:val="00751EBE"/>
    <w:rsid w:val="007751BD"/>
    <w:rsid w:val="007816DE"/>
    <w:rsid w:val="007966A1"/>
    <w:rsid w:val="007A11EF"/>
    <w:rsid w:val="007A7D61"/>
    <w:rsid w:val="007B651F"/>
    <w:rsid w:val="007C257F"/>
    <w:rsid w:val="007D30F9"/>
    <w:rsid w:val="007E630D"/>
    <w:rsid w:val="007F3FD1"/>
    <w:rsid w:val="00802444"/>
    <w:rsid w:val="00815BF4"/>
    <w:rsid w:val="00815D4E"/>
    <w:rsid w:val="00830176"/>
    <w:rsid w:val="008B1A08"/>
    <w:rsid w:val="008D4485"/>
    <w:rsid w:val="00912532"/>
    <w:rsid w:val="009816A3"/>
    <w:rsid w:val="009951C1"/>
    <w:rsid w:val="009B4110"/>
    <w:rsid w:val="009D0FDE"/>
    <w:rsid w:val="009D4D9B"/>
    <w:rsid w:val="009F4FC3"/>
    <w:rsid w:val="00A027D3"/>
    <w:rsid w:val="00A122B0"/>
    <w:rsid w:val="00A249DA"/>
    <w:rsid w:val="00A43417"/>
    <w:rsid w:val="00A524DF"/>
    <w:rsid w:val="00A53AE4"/>
    <w:rsid w:val="00A87CFF"/>
    <w:rsid w:val="00AB11F6"/>
    <w:rsid w:val="00B112EE"/>
    <w:rsid w:val="00B23017"/>
    <w:rsid w:val="00B2520C"/>
    <w:rsid w:val="00B50B6F"/>
    <w:rsid w:val="00B528D5"/>
    <w:rsid w:val="00B65EED"/>
    <w:rsid w:val="00BF3832"/>
    <w:rsid w:val="00C109C3"/>
    <w:rsid w:val="00C11879"/>
    <w:rsid w:val="00C26D5E"/>
    <w:rsid w:val="00C72CA5"/>
    <w:rsid w:val="00C73E30"/>
    <w:rsid w:val="00C75BCC"/>
    <w:rsid w:val="00C81DBA"/>
    <w:rsid w:val="00CA3A47"/>
    <w:rsid w:val="00CB1C60"/>
    <w:rsid w:val="00D21943"/>
    <w:rsid w:val="00D42E07"/>
    <w:rsid w:val="00D52999"/>
    <w:rsid w:val="00DF3734"/>
    <w:rsid w:val="00DF4242"/>
    <w:rsid w:val="00E209A1"/>
    <w:rsid w:val="00E4435E"/>
    <w:rsid w:val="00E66C9A"/>
    <w:rsid w:val="00EB4064"/>
    <w:rsid w:val="00EC2093"/>
    <w:rsid w:val="00EC38B9"/>
    <w:rsid w:val="00EF0700"/>
    <w:rsid w:val="00EF1242"/>
    <w:rsid w:val="00F40D71"/>
    <w:rsid w:val="00F45B06"/>
    <w:rsid w:val="00F74ABD"/>
    <w:rsid w:val="00FC7BDF"/>
    <w:rsid w:val="00FD5DEF"/>
    <w:rsid w:val="00FD5EC8"/>
    <w:rsid w:val="00FF5C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1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156312"/>
    <w:pPr>
      <w:autoSpaceDE w:val="0"/>
      <w:autoSpaceDN w:val="0"/>
      <w:adjustRightInd w:val="0"/>
      <w:spacing w:after="0" w:line="240" w:lineRule="auto"/>
    </w:pPr>
    <w:rPr>
      <w:rFonts w:ascii="Calibri" w:eastAsia="Times New Roman" w:hAnsi="Calibri" w:cs="Calibri"/>
      <w:color w:val="000000"/>
      <w:sz w:val="24"/>
      <w:szCs w:val="24"/>
    </w:rPr>
  </w:style>
  <w:style w:type="paragraph" w:styleId="Subsol">
    <w:name w:val="footer"/>
    <w:basedOn w:val="Normal"/>
    <w:link w:val="SubsolCaracter"/>
    <w:unhideWhenUsed/>
    <w:rsid w:val="00156312"/>
    <w:pPr>
      <w:tabs>
        <w:tab w:val="center" w:pos="4320"/>
        <w:tab w:val="right" w:pos="8640"/>
      </w:tabs>
    </w:pPr>
  </w:style>
  <w:style w:type="character" w:customStyle="1" w:styleId="SubsolCaracter">
    <w:name w:val="Subsol Caracter"/>
    <w:basedOn w:val="Fontdeparagrafimplicit"/>
    <w:link w:val="Subsol"/>
    <w:rsid w:val="00156312"/>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15631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6312"/>
    <w:rPr>
      <w:rFonts w:ascii="Tahoma" w:eastAsia="Times New Roman" w:hAnsi="Tahoma" w:cs="Tahoma"/>
      <w:sz w:val="16"/>
      <w:szCs w:val="16"/>
      <w:lang w:eastAsia="ro-RO"/>
    </w:rPr>
  </w:style>
  <w:style w:type="paragraph" w:styleId="Indentcorptext">
    <w:name w:val="Body Text Indent"/>
    <w:basedOn w:val="Normal"/>
    <w:link w:val="IndentcorptextCaracter"/>
    <w:uiPriority w:val="99"/>
    <w:semiHidden/>
    <w:unhideWhenUsed/>
    <w:rsid w:val="005F6010"/>
    <w:pPr>
      <w:spacing w:after="120"/>
      <w:ind w:left="283"/>
    </w:pPr>
  </w:style>
  <w:style w:type="character" w:customStyle="1" w:styleId="IndentcorptextCaracter">
    <w:name w:val="Indent corp text Caracter"/>
    <w:basedOn w:val="Fontdeparagrafimplicit"/>
    <w:link w:val="Indentcorptext"/>
    <w:uiPriority w:val="99"/>
    <w:semiHidden/>
    <w:rsid w:val="005F6010"/>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2D5F2A"/>
    <w:rPr>
      <w:color w:val="0000FF" w:themeColor="hyperlink"/>
      <w:u w:val="single"/>
    </w:rPr>
  </w:style>
  <w:style w:type="character" w:customStyle="1" w:styleId="wffiletext">
    <w:name w:val="wf_file_text"/>
    <w:basedOn w:val="Fontdeparagrafimplicit"/>
    <w:rsid w:val="00657EAC"/>
  </w:style>
  <w:style w:type="paragraph" w:styleId="Antet">
    <w:name w:val="header"/>
    <w:basedOn w:val="Normal"/>
    <w:link w:val="AntetCaracter"/>
    <w:uiPriority w:val="99"/>
    <w:unhideWhenUsed/>
    <w:rsid w:val="005A4B1A"/>
    <w:pPr>
      <w:tabs>
        <w:tab w:val="center" w:pos="4513"/>
        <w:tab w:val="right" w:pos="9026"/>
      </w:tabs>
    </w:pPr>
  </w:style>
  <w:style w:type="character" w:customStyle="1" w:styleId="AntetCaracter">
    <w:name w:val="Antet Caracter"/>
    <w:basedOn w:val="Fontdeparagrafimplicit"/>
    <w:link w:val="Antet"/>
    <w:uiPriority w:val="99"/>
    <w:rsid w:val="005A4B1A"/>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CA3A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03220">
      <w:bodyDiv w:val="1"/>
      <w:marLeft w:val="0"/>
      <w:marRight w:val="0"/>
      <w:marTop w:val="0"/>
      <w:marBottom w:val="0"/>
      <w:divBdr>
        <w:top w:val="none" w:sz="0" w:space="0" w:color="auto"/>
        <w:left w:val="none" w:sz="0" w:space="0" w:color="auto"/>
        <w:bottom w:val="none" w:sz="0" w:space="0" w:color="auto"/>
        <w:right w:val="none" w:sz="0" w:space="0" w:color="auto"/>
      </w:divBdr>
    </w:div>
    <w:div w:id="17576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egio.ro/images/documente/comunicare/publicatii/Instructiune_41.r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2.ro" TargetMode="External"/><Relationship Id="rId5" Type="http://schemas.openxmlformats.org/officeDocument/2006/relationships/footnotes" Target="footnotes.xml"/><Relationship Id="rId10" Type="http://schemas.openxmlformats.org/officeDocument/2006/relationships/hyperlink" Target="http://poca.ro/wp-content/uploads/2016/04/0-Ghidul-solicitantului-CP10_2018-more-lansare-oficiala-04072018-final.doc" TargetMode="External"/><Relationship Id="rId4" Type="http://schemas.openxmlformats.org/officeDocument/2006/relationships/webSettings" Target="webSettings.xml"/><Relationship Id="rId9" Type="http://schemas.openxmlformats.org/officeDocument/2006/relationships/hyperlink" Target="http://www.inforegio.ro/ro/implementare/instructiun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2931</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2021-11-04T11:11:00Z</dcterms:created>
  <dcterms:modified xsi:type="dcterms:W3CDTF">2021-12-28T09:24:00Z</dcterms:modified>
</cp:coreProperties>
</file>