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A5" w:rsidRDefault="00895612">
      <w:bookmarkStart w:id="0" w:name="_GoBack"/>
      <w:bookmarkEnd w:id="0"/>
      <w:r w:rsidRPr="00895612">
        <w:rPr>
          <w:rFonts w:ascii="Times New Roman" w:hAnsi="Times New Roman"/>
          <w:noProof/>
          <w:lang w:eastAsia="ro-RO"/>
        </w:rPr>
        <w:drawing>
          <wp:inline distT="0" distB="0" distL="0" distR="0" wp14:anchorId="6A3649CC" wp14:editId="3FBA1464">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4B6F67" w:rsidRDefault="004B6F67" w:rsidP="00243CA5">
      <w:pPr>
        <w:jc w:val="both"/>
        <w:rPr>
          <w:rFonts w:ascii="Times New Roman" w:hAnsi="Times New Roman"/>
          <w:b/>
          <w:bCs/>
          <w:color w:val="000080"/>
        </w:rPr>
      </w:pPr>
    </w:p>
    <w:p w:rsidR="00675E08" w:rsidRDefault="00675E08" w:rsidP="00895612">
      <w:pPr>
        <w:jc w:val="center"/>
        <w:rPr>
          <w:rFonts w:ascii="Times New Roman" w:hAnsi="Times New Roman"/>
          <w:b/>
          <w:bCs/>
          <w:color w:val="000080"/>
        </w:rPr>
      </w:pPr>
    </w:p>
    <w:p w:rsidR="00243CA5" w:rsidRDefault="00243CA5" w:rsidP="00895612">
      <w:pPr>
        <w:jc w:val="center"/>
        <w:rPr>
          <w:rFonts w:ascii="Times New Roman" w:hAnsi="Times New Roman"/>
          <w:b/>
          <w:bCs/>
          <w:color w:val="000080"/>
        </w:rPr>
      </w:pPr>
      <w:r w:rsidRPr="00243CA5">
        <w:rPr>
          <w:rFonts w:ascii="Times New Roman" w:hAnsi="Times New Roman"/>
          <w:b/>
          <w:bCs/>
          <w:color w:val="000080"/>
        </w:rPr>
        <w:t>Atribuţiile postului:</w:t>
      </w:r>
      <w:r>
        <w:rPr>
          <w:rFonts w:ascii="Times New Roman" w:hAnsi="Times New Roman"/>
          <w:b/>
          <w:bCs/>
          <w:color w:val="000080"/>
        </w:rPr>
        <w:t xml:space="preserve"> consilier </w:t>
      </w:r>
      <w:r w:rsidR="009C6C9C">
        <w:rPr>
          <w:rFonts w:ascii="Times New Roman" w:hAnsi="Times New Roman"/>
          <w:b/>
          <w:bCs/>
          <w:color w:val="000080"/>
        </w:rPr>
        <w:t>superior la Serviciul Contabilitate-Financiar</w:t>
      </w:r>
    </w:p>
    <w:p w:rsidR="0049275C" w:rsidRDefault="0049275C" w:rsidP="00895612">
      <w:pPr>
        <w:jc w:val="center"/>
        <w:rPr>
          <w:rFonts w:ascii="Times New Roman" w:hAnsi="Times New Roman"/>
          <w:b/>
          <w:bCs/>
          <w:color w:val="000080"/>
        </w:rPr>
      </w:pPr>
    </w:p>
    <w:p w:rsidR="004B6F67" w:rsidRDefault="004B6F67" w:rsidP="00243CA5">
      <w:pPr>
        <w:jc w:val="both"/>
        <w:rPr>
          <w:rFonts w:ascii="Times New Roman" w:hAnsi="Times New Roman"/>
          <w:b/>
          <w:bCs/>
          <w:color w:val="000080"/>
        </w:rPr>
      </w:pPr>
    </w:p>
    <w:p w:rsidR="009B12E9" w:rsidRPr="009B12E9" w:rsidRDefault="009B12E9" w:rsidP="009B12E9">
      <w:pPr>
        <w:numPr>
          <w:ilvl w:val="1"/>
          <w:numId w:val="4"/>
        </w:numPr>
        <w:tabs>
          <w:tab w:val="num" w:pos="360"/>
        </w:tabs>
        <w:ind w:left="360" w:hanging="270"/>
        <w:jc w:val="both"/>
        <w:rPr>
          <w:rFonts w:ascii="Times New Roman" w:hAnsi="Times New Roman"/>
        </w:rPr>
      </w:pPr>
      <w:r w:rsidRPr="009B12E9">
        <w:rPr>
          <w:rFonts w:ascii="Times New Roman" w:hAnsi="Times New Roman"/>
        </w:rPr>
        <w:t>Întocmeşte ordonanţări şi ordine de plată în termen scadent, conform Ordinului nr.1792/24.12.2002 pentru aprobarea Normelor metodologice privind angajarea, lichidarea, ordonanţarea şi plata cheltuielilor instituţiilor publice, precum şi organizarea, evidenţa şi raportarea angajamentelor bugetare şi legale, cu modificările şi completările ulterioare, pentru cheltuielile efectuate din bugetul local, dar şi pentru alte categorii de cheltuieli care sunt determinate de activitatea Consiliului Local Sector 2, în strictă conformitate cu prevederile legale în vigoare, ce îi sunt repartizate de șeful serviciului.</w:t>
      </w:r>
    </w:p>
    <w:p w:rsidR="009B12E9" w:rsidRPr="009B12E9" w:rsidRDefault="009B12E9" w:rsidP="009B12E9">
      <w:pPr>
        <w:numPr>
          <w:ilvl w:val="1"/>
          <w:numId w:val="4"/>
        </w:numPr>
        <w:tabs>
          <w:tab w:val="num" w:pos="360"/>
        </w:tabs>
        <w:ind w:left="360" w:hanging="270"/>
        <w:jc w:val="both"/>
        <w:rPr>
          <w:rFonts w:ascii="Times New Roman" w:hAnsi="Times New Roman"/>
        </w:rPr>
      </w:pPr>
      <w:r w:rsidRPr="009B12E9">
        <w:rPr>
          <w:rFonts w:ascii="Times New Roman" w:hAnsi="Times New Roman"/>
        </w:rPr>
        <w:t>Introduce în programul de contabilitate facturile privind cheltuielile de reabilitare și cheltuielile de funcționare ce îi sunt repartizate de șeful serviciului și verifică notele contabile generate  de program privind facturile introduse.</w:t>
      </w:r>
    </w:p>
    <w:p w:rsidR="009B12E9" w:rsidRPr="009B12E9" w:rsidRDefault="009B12E9" w:rsidP="009B12E9">
      <w:pPr>
        <w:numPr>
          <w:ilvl w:val="1"/>
          <w:numId w:val="4"/>
        </w:numPr>
        <w:tabs>
          <w:tab w:val="num" w:pos="360"/>
        </w:tabs>
        <w:ind w:left="360" w:hanging="270"/>
        <w:jc w:val="both"/>
        <w:rPr>
          <w:rFonts w:ascii="Times New Roman" w:hAnsi="Times New Roman"/>
        </w:rPr>
      </w:pPr>
      <w:r w:rsidRPr="009B12E9">
        <w:rPr>
          <w:rFonts w:ascii="Times New Roman" w:hAnsi="Times New Roman"/>
        </w:rPr>
        <w:t xml:space="preserve">Verifică, centralizează, întocmește și asigură exactitatea sumelor din situaţiile financiare de raportare la nivelul Primăriei Sectorului 2 şi Consiliului Local al Sectorului 2, în baza situațiilor financiare transmise de fiecare subunitate, trimestrial şi anual, la termenele stabilite prin Legea contabilităţii şi normele Ministerului Finanţelor Publice din Sistemul Național de Raportare FOREXEBUG și transmite trimestrial şi anual în programul FOX și în format letric. </w:t>
      </w:r>
    </w:p>
    <w:p w:rsidR="009B12E9" w:rsidRPr="009B12E9" w:rsidRDefault="009B12E9" w:rsidP="009B12E9">
      <w:pPr>
        <w:numPr>
          <w:ilvl w:val="1"/>
          <w:numId w:val="4"/>
        </w:numPr>
        <w:tabs>
          <w:tab w:val="num" w:pos="360"/>
        </w:tabs>
        <w:ind w:left="360" w:hanging="270"/>
        <w:jc w:val="both"/>
        <w:rPr>
          <w:rFonts w:ascii="Times New Roman" w:hAnsi="Times New Roman"/>
        </w:rPr>
      </w:pPr>
      <w:r w:rsidRPr="009B12E9">
        <w:rPr>
          <w:rFonts w:ascii="Times New Roman" w:hAnsi="Times New Roman"/>
        </w:rPr>
        <w:t>Înregistrează în programul de contabilitate garanțiile constituite de bună execuţie reflectate în conturi în afara bilanţului 805 00 00 Disponibil din garanţia constituită pentru bună execuţie, repartizate de seful serviciului.</w:t>
      </w:r>
    </w:p>
    <w:p w:rsidR="009B12E9" w:rsidRPr="009B12E9" w:rsidRDefault="009B12E9" w:rsidP="009B12E9">
      <w:pPr>
        <w:numPr>
          <w:ilvl w:val="1"/>
          <w:numId w:val="4"/>
        </w:numPr>
        <w:tabs>
          <w:tab w:val="num" w:pos="360"/>
        </w:tabs>
        <w:ind w:left="360" w:hanging="270"/>
        <w:jc w:val="both"/>
        <w:rPr>
          <w:rFonts w:ascii="Times New Roman" w:hAnsi="Times New Roman"/>
        </w:rPr>
      </w:pPr>
      <w:r w:rsidRPr="009B12E9">
        <w:rPr>
          <w:rFonts w:ascii="Times New Roman" w:hAnsi="Times New Roman"/>
        </w:rPr>
        <w:t>Ţine evidenţa contului furnizori 404 şi efectuează periodic confirmări de solduri şi punctaje cu furnizorii repartizați de șeful serviciului.</w:t>
      </w:r>
    </w:p>
    <w:p w:rsidR="009B12E9" w:rsidRPr="009B12E9" w:rsidRDefault="009B12E9" w:rsidP="009B12E9">
      <w:pPr>
        <w:numPr>
          <w:ilvl w:val="1"/>
          <w:numId w:val="4"/>
        </w:numPr>
        <w:tabs>
          <w:tab w:val="num" w:pos="360"/>
        </w:tabs>
        <w:ind w:left="360" w:hanging="270"/>
        <w:jc w:val="both"/>
        <w:rPr>
          <w:rFonts w:ascii="Times New Roman" w:hAnsi="Times New Roman"/>
        </w:rPr>
      </w:pPr>
      <w:r w:rsidRPr="009B12E9">
        <w:rPr>
          <w:rFonts w:ascii="Times New Roman" w:hAnsi="Times New Roman"/>
        </w:rPr>
        <w:t>Ţine evidenţa contabilă a conturilor: 611 Cheltuieli cu întreţinerea și reparaţii, contului, 613 Cheltuieli cu primele de asigurare, 627 Cheltuieli cu serviciile bancare și asimilate, contului 628 Alte cheltuieli cu serviciile executate de terţi.</w:t>
      </w:r>
    </w:p>
    <w:p w:rsidR="009B12E9" w:rsidRPr="009B12E9" w:rsidRDefault="009B12E9" w:rsidP="009B12E9">
      <w:pPr>
        <w:numPr>
          <w:ilvl w:val="1"/>
          <w:numId w:val="4"/>
        </w:numPr>
        <w:tabs>
          <w:tab w:val="num" w:pos="360"/>
        </w:tabs>
        <w:ind w:left="360" w:hanging="270"/>
        <w:jc w:val="both"/>
        <w:rPr>
          <w:rFonts w:ascii="Times New Roman" w:hAnsi="Times New Roman"/>
        </w:rPr>
      </w:pPr>
      <w:r w:rsidRPr="009B12E9">
        <w:rPr>
          <w:rFonts w:ascii="Times New Roman" w:hAnsi="Times New Roman"/>
        </w:rPr>
        <w:t>Ţine evidenţa analitică pe fiecare obiectiv de investiţii, în curs sau finalizat, pe surse de finanţare (buget local, credit intern, credit extern, fond de rezervă bugetară, FEN, fond de mediu etc.).</w:t>
      </w:r>
    </w:p>
    <w:p w:rsidR="009B12E9" w:rsidRPr="009B12E9" w:rsidRDefault="009B12E9" w:rsidP="009B12E9">
      <w:pPr>
        <w:numPr>
          <w:ilvl w:val="1"/>
          <w:numId w:val="4"/>
        </w:numPr>
        <w:tabs>
          <w:tab w:val="num" w:pos="360"/>
        </w:tabs>
        <w:ind w:left="360" w:hanging="270"/>
        <w:jc w:val="both"/>
        <w:rPr>
          <w:rFonts w:ascii="Times New Roman" w:hAnsi="Times New Roman"/>
        </w:rPr>
      </w:pPr>
      <w:r w:rsidRPr="009B12E9">
        <w:rPr>
          <w:rFonts w:ascii="Times New Roman" w:hAnsi="Times New Roman"/>
        </w:rPr>
        <w:t>Înregistrează, urmăreşte evidenţa sintetică şi analitică, întocmeşte adresele către creditori, extrase de cont, respectiv confirmări de sold și înştiinţează superiorul ierarhic despre eventualele neconcordanţe, efectuează corecţiile necesare.</w:t>
      </w:r>
    </w:p>
    <w:p w:rsidR="009B12E9" w:rsidRPr="009B12E9" w:rsidRDefault="009B12E9" w:rsidP="009B12E9">
      <w:pPr>
        <w:numPr>
          <w:ilvl w:val="1"/>
          <w:numId w:val="4"/>
        </w:numPr>
        <w:tabs>
          <w:tab w:val="num" w:pos="360"/>
          <w:tab w:val="left" w:pos="426"/>
          <w:tab w:val="left" w:pos="851"/>
        </w:tabs>
        <w:ind w:left="360" w:hanging="270"/>
        <w:jc w:val="both"/>
        <w:rPr>
          <w:rFonts w:ascii="Times New Roman" w:hAnsi="Times New Roman"/>
        </w:rPr>
      </w:pPr>
      <w:r w:rsidRPr="009B12E9">
        <w:rPr>
          <w:rFonts w:ascii="Times New Roman" w:hAnsi="Times New Roman"/>
        </w:rPr>
        <w:t>Are obligativitatea verificării înregistrării în evidenţele contabile a facturilor ordonanţate şi plătite pentru obiectivele de investiţii în curs - reabilitare termică</w:t>
      </w:r>
      <w:r w:rsidRPr="009B12E9">
        <w:rPr>
          <w:rFonts w:ascii="Times New Roman" w:hAnsi="Times New Roman"/>
          <w:b/>
        </w:rPr>
        <w:t xml:space="preserve"> </w:t>
      </w:r>
      <w:r w:rsidRPr="009B12E9">
        <w:rPr>
          <w:rFonts w:ascii="Times New Roman" w:hAnsi="Times New Roman"/>
        </w:rPr>
        <w:t>- aferente contului 231 „ Active fixe corporale în curs de execuţie“ şi a contului  corespondent 404 „Furnizori de investiţii“, ordonanţate şi plătite de titularul postului.</w:t>
      </w:r>
    </w:p>
    <w:p w:rsidR="009B12E9" w:rsidRPr="009B12E9" w:rsidRDefault="009B12E9" w:rsidP="009B12E9">
      <w:pPr>
        <w:numPr>
          <w:ilvl w:val="1"/>
          <w:numId w:val="4"/>
        </w:numPr>
        <w:tabs>
          <w:tab w:val="num" w:pos="360"/>
          <w:tab w:val="num" w:pos="928"/>
        </w:tabs>
        <w:ind w:left="360"/>
        <w:jc w:val="both"/>
        <w:rPr>
          <w:rFonts w:ascii="Times New Roman" w:hAnsi="Times New Roman"/>
        </w:rPr>
      </w:pPr>
      <w:r w:rsidRPr="009B12E9">
        <w:rPr>
          <w:rFonts w:ascii="Times New Roman" w:hAnsi="Times New Roman"/>
        </w:rPr>
        <w:t>Sesizează eventualele erori şi propune şefului serviciului măsuri de remediere a deficienţelor constatate la documentele ce îi sunt prezentate spre înregistrare sau centralizare.</w:t>
      </w:r>
    </w:p>
    <w:p w:rsidR="009B12E9" w:rsidRPr="009B12E9" w:rsidRDefault="009B12E9" w:rsidP="009B12E9">
      <w:pPr>
        <w:numPr>
          <w:ilvl w:val="1"/>
          <w:numId w:val="4"/>
        </w:numPr>
        <w:tabs>
          <w:tab w:val="num" w:pos="360"/>
          <w:tab w:val="num" w:pos="928"/>
        </w:tabs>
        <w:ind w:left="360"/>
        <w:jc w:val="both"/>
        <w:rPr>
          <w:rFonts w:ascii="Times New Roman" w:hAnsi="Times New Roman"/>
        </w:rPr>
      </w:pPr>
      <w:r w:rsidRPr="009B12E9">
        <w:rPr>
          <w:rFonts w:ascii="Times New Roman" w:hAnsi="Times New Roman"/>
          <w:bCs/>
        </w:rPr>
        <w:t>Întocmeşte ordonanţări, ordine de plată şi situaţii financiare aferente fondurilor europene, conform O.U.G. nr. 40/2015 Privind gestionarea financiară a Fondurilor Europene pentru perioada de programare 2014-2020 şi H.G. nr. 93/2016 pentru aprobarea normelor de aplicare a O.U.G. nr.40/2015 cu modificările și completările ulterioare, având obligaţia arhivării acestora, respectând normele europene de contabilitate.</w:t>
      </w:r>
    </w:p>
    <w:p w:rsidR="009B12E9" w:rsidRPr="009B12E9" w:rsidRDefault="009B12E9" w:rsidP="009B12E9">
      <w:pPr>
        <w:numPr>
          <w:ilvl w:val="1"/>
          <w:numId w:val="4"/>
        </w:numPr>
        <w:tabs>
          <w:tab w:val="num" w:pos="360"/>
          <w:tab w:val="num" w:pos="928"/>
        </w:tabs>
        <w:ind w:left="360"/>
        <w:jc w:val="both"/>
        <w:rPr>
          <w:rFonts w:ascii="Times New Roman" w:hAnsi="Times New Roman"/>
        </w:rPr>
      </w:pPr>
      <w:r w:rsidRPr="009B12E9">
        <w:rPr>
          <w:rFonts w:ascii="Times New Roman" w:hAnsi="Times New Roman"/>
        </w:rPr>
        <w:lastRenderedPageBreak/>
        <w:t>Întocmeşte rapoarte de specialitate pentru proiectele de hotărâri iniţiate de diverse</w:t>
      </w:r>
      <w:r w:rsidRPr="009B12E9">
        <w:rPr>
          <w:rFonts w:ascii="Times New Roman" w:hAnsi="Times New Roman"/>
          <w:color w:val="000000"/>
        </w:rPr>
        <w:t xml:space="preserve"> compartimente din cadrul primăriei, precum şi de serviciile publice de interes local, aflate sub autoritatea Consiliului Local Sector 2.</w:t>
      </w:r>
    </w:p>
    <w:p w:rsidR="009B12E9" w:rsidRPr="009B12E9" w:rsidRDefault="009B12E9" w:rsidP="009B12E9">
      <w:pPr>
        <w:numPr>
          <w:ilvl w:val="1"/>
          <w:numId w:val="4"/>
        </w:numPr>
        <w:tabs>
          <w:tab w:val="num" w:pos="360"/>
          <w:tab w:val="num" w:pos="928"/>
        </w:tabs>
        <w:ind w:left="360"/>
        <w:jc w:val="both"/>
        <w:rPr>
          <w:rFonts w:ascii="Times New Roman" w:hAnsi="Times New Roman"/>
        </w:rPr>
      </w:pPr>
      <w:r w:rsidRPr="009B12E9">
        <w:rPr>
          <w:rFonts w:ascii="Times New Roman" w:hAnsi="Times New Roman"/>
          <w:color w:val="000000"/>
        </w:rPr>
        <w:t>Întocmeşte angajamente, ordonanţări de plată, ordine de plată şi alte lucrări care îi sunt repartizate de şeful serviciului.</w:t>
      </w:r>
    </w:p>
    <w:p w:rsidR="009B12E9" w:rsidRPr="009B12E9" w:rsidRDefault="009B12E9" w:rsidP="009B12E9">
      <w:pPr>
        <w:numPr>
          <w:ilvl w:val="1"/>
          <w:numId w:val="4"/>
        </w:numPr>
        <w:tabs>
          <w:tab w:val="num" w:pos="360"/>
          <w:tab w:val="num" w:pos="928"/>
        </w:tabs>
        <w:ind w:left="360"/>
        <w:jc w:val="both"/>
        <w:rPr>
          <w:rFonts w:ascii="Times New Roman" w:hAnsi="Times New Roman"/>
        </w:rPr>
      </w:pPr>
      <w:r w:rsidRPr="009B12E9">
        <w:rPr>
          <w:rFonts w:ascii="Times New Roman" w:hAnsi="Times New Roman"/>
          <w:color w:val="000000"/>
        </w:rPr>
        <w:t xml:space="preserve">Semnează instrumente de plată conform dispoziției Primarului </w:t>
      </w:r>
      <w:r w:rsidRPr="009B12E9">
        <w:rPr>
          <w:rFonts w:ascii="Times New Roman" w:hAnsi="Times New Roman"/>
        </w:rPr>
        <w:t>Sectorului 2, privind</w:t>
      </w:r>
      <w:r w:rsidRPr="009B12E9">
        <w:rPr>
          <w:rFonts w:ascii="Times New Roman" w:hAnsi="Times New Roman"/>
          <w:color w:val="000000"/>
        </w:rPr>
        <w:t xml:space="preserve"> persoanele desemnate în  acest sens.</w:t>
      </w:r>
    </w:p>
    <w:p w:rsidR="009B12E9" w:rsidRPr="009B12E9" w:rsidRDefault="009B12E9" w:rsidP="009B12E9">
      <w:pPr>
        <w:numPr>
          <w:ilvl w:val="1"/>
          <w:numId w:val="4"/>
        </w:numPr>
        <w:tabs>
          <w:tab w:val="num" w:pos="360"/>
          <w:tab w:val="num" w:pos="928"/>
        </w:tabs>
        <w:ind w:left="360"/>
        <w:jc w:val="both"/>
        <w:rPr>
          <w:rFonts w:ascii="Times New Roman" w:hAnsi="Times New Roman"/>
        </w:rPr>
      </w:pPr>
      <w:r w:rsidRPr="009B12E9">
        <w:rPr>
          <w:rFonts w:ascii="Times New Roman" w:hAnsi="Times New Roman"/>
        </w:rPr>
        <w:t>La sfârșitul fiecărei luni verifică corespondența exactă a sumelor din balanța de debitori, creditori, furnizori cu balanța de verificare sintetică și analitică a conturilor contabile 461 Debitori diverși, 462 Creditori diverși, 464 Creanțe ale bugetului local, 401 Furnizori, 404 Furnizori de imobilizări, iar în cazul identificării unor diferențe, corectează în cursul aceleiași luni, în baza documentelor justificative, diferențele constatate.</w:t>
      </w:r>
    </w:p>
    <w:p w:rsidR="009B12E9" w:rsidRPr="009B12E9" w:rsidRDefault="009B12E9" w:rsidP="009B12E9">
      <w:pPr>
        <w:numPr>
          <w:ilvl w:val="1"/>
          <w:numId w:val="4"/>
        </w:numPr>
        <w:tabs>
          <w:tab w:val="num" w:pos="360"/>
          <w:tab w:val="num" w:pos="928"/>
        </w:tabs>
        <w:ind w:left="360"/>
        <w:jc w:val="both"/>
        <w:rPr>
          <w:rFonts w:ascii="Times New Roman" w:hAnsi="Times New Roman"/>
        </w:rPr>
      </w:pPr>
      <w:r w:rsidRPr="009B12E9">
        <w:rPr>
          <w:rFonts w:ascii="Times New Roman" w:hAnsi="Times New Roman"/>
        </w:rPr>
        <w:t>Verifică la sfârșitul fiecărei luni corespondența dintre lista angajamentelor bugetare și legale cu soldurile și rulajele conturilor 8066 Angajamente bugetare și 8067 Angajamente legale din balanța de verificare, pe fiecare clasificație bugetară pentru a nu exista diferențe.</w:t>
      </w:r>
    </w:p>
    <w:p w:rsidR="009B12E9" w:rsidRPr="009B12E9" w:rsidRDefault="009B12E9" w:rsidP="009B12E9">
      <w:pPr>
        <w:numPr>
          <w:ilvl w:val="1"/>
          <w:numId w:val="4"/>
        </w:numPr>
        <w:tabs>
          <w:tab w:val="num" w:pos="360"/>
          <w:tab w:val="num" w:pos="928"/>
        </w:tabs>
        <w:ind w:left="360"/>
        <w:jc w:val="both"/>
        <w:rPr>
          <w:rFonts w:ascii="Times New Roman" w:hAnsi="Times New Roman"/>
        </w:rPr>
      </w:pPr>
      <w:r w:rsidRPr="009B12E9">
        <w:rPr>
          <w:rFonts w:ascii="Times New Roman" w:hAnsi="Times New Roman"/>
        </w:rPr>
        <w:t>Verifică la sfârșitul fiecărei luni corespondența creditelor bugetare aprobate și creditelor bugetare deschise pentru cheltuieli din Bugetul aprobat prin Hotărârea Consiliului Local Sector 2 cu sumele din balanța de verificare reprezentând conturile 8060 Credite bugetare aprobate și 8062 Credite bugetare deschise, pe fiecare clasificație bugetară, pentru a nu exista diferențe.</w:t>
      </w:r>
    </w:p>
    <w:p w:rsidR="009B12E9" w:rsidRPr="009B12E9" w:rsidRDefault="009B12E9" w:rsidP="009B12E9">
      <w:pPr>
        <w:numPr>
          <w:ilvl w:val="1"/>
          <w:numId w:val="4"/>
        </w:numPr>
        <w:tabs>
          <w:tab w:val="num" w:pos="360"/>
          <w:tab w:val="num" w:pos="928"/>
        </w:tabs>
        <w:ind w:left="360"/>
        <w:jc w:val="both"/>
        <w:rPr>
          <w:rFonts w:ascii="Times New Roman" w:hAnsi="Times New Roman"/>
        </w:rPr>
      </w:pPr>
      <w:r w:rsidRPr="009B12E9">
        <w:rPr>
          <w:rFonts w:ascii="Times New Roman" w:hAnsi="Times New Roman"/>
          <w:color w:val="000000"/>
        </w:rPr>
        <w:t xml:space="preserve">Întocmeşte situaţii statistice pentru Primăria Sectorului 2 în domeniul de activitate şi centralizează situaţii statistice pentru serviciile publice </w:t>
      </w:r>
      <w:r w:rsidRPr="009B12E9">
        <w:rPr>
          <w:rFonts w:ascii="Times New Roman" w:hAnsi="Times New Roman"/>
        </w:rPr>
        <w:t>de interes local aflate sub autoritatea Consiliului Local Sector 2 şi le înaintează instituţiilor care sunt beneficiare ale acestor situaţii conform normelor legale.</w:t>
      </w:r>
    </w:p>
    <w:p w:rsidR="009B12E9" w:rsidRPr="009B12E9" w:rsidRDefault="009B12E9" w:rsidP="009B12E9">
      <w:pPr>
        <w:numPr>
          <w:ilvl w:val="1"/>
          <w:numId w:val="4"/>
        </w:numPr>
        <w:tabs>
          <w:tab w:val="num" w:pos="360"/>
          <w:tab w:val="num" w:pos="928"/>
        </w:tabs>
        <w:ind w:left="360"/>
        <w:jc w:val="both"/>
        <w:rPr>
          <w:rFonts w:ascii="Times New Roman" w:hAnsi="Times New Roman"/>
        </w:rPr>
      </w:pPr>
      <w:r w:rsidRPr="009B12E9">
        <w:rPr>
          <w:rFonts w:ascii="Times New Roman" w:hAnsi="Times New Roman"/>
        </w:rPr>
        <w:t>Întocmeşte raportările lunare cu privire la plăţile restante, pentru Primăria Sectorului 2 şi Consiliul Local Sector 2, prin întocmirea unei note explicative referitoare la plăţi restante şi arierate, în care se vor explica cauzele creşterilor semnificative ale sumelor raportate pe categorii de plăţi restante/arierate şi pe numărul de zile de întârziere (peste 90 de zile, peste 120 de zile, peste 1 an), precum şi componența sumelor raportate la finele perioadei; Urmăreşte reducerea arieratelor şi a plăţilor restante.</w:t>
      </w:r>
    </w:p>
    <w:p w:rsidR="009B12E9" w:rsidRPr="009B12E9" w:rsidRDefault="009B12E9" w:rsidP="009B12E9">
      <w:pPr>
        <w:numPr>
          <w:ilvl w:val="1"/>
          <w:numId w:val="4"/>
        </w:numPr>
        <w:tabs>
          <w:tab w:val="num" w:pos="360"/>
          <w:tab w:val="num" w:pos="928"/>
        </w:tabs>
        <w:ind w:left="360"/>
        <w:jc w:val="both"/>
        <w:rPr>
          <w:rFonts w:ascii="Times New Roman" w:hAnsi="Times New Roman"/>
        </w:rPr>
      </w:pPr>
      <w:r w:rsidRPr="009B12E9">
        <w:rPr>
          <w:rFonts w:ascii="Times New Roman" w:hAnsi="Times New Roman"/>
        </w:rPr>
        <w:t>Întocmeşte raportarea lunară pentru Primăria Sectorului 2 şi Consiliul Local Sector 2, privind indicatorii de bilanţ următori: „Creanţe comerciale şi avansuri”, cod rând 22, „Datorii comerciale şi avansuri”, cod rând 61, „Contribuţii sociale”, cod rând 63.1, „Salariile angajaţilor”, cod rând 72, „Alte drepturi cuvenite altor categorii de persoane (pensii, indemnizaţii de şomaj, burse)”, cod rând 73. Întocmeşte o notă explicativă pentru creşterile semnificative ale sumelor raportate în bilanţ la indicatorii menţionaţi.</w:t>
      </w:r>
    </w:p>
    <w:p w:rsidR="009B12E9" w:rsidRPr="009B12E9" w:rsidRDefault="009B12E9" w:rsidP="009B12E9">
      <w:pPr>
        <w:numPr>
          <w:ilvl w:val="1"/>
          <w:numId w:val="4"/>
        </w:numPr>
        <w:tabs>
          <w:tab w:val="num" w:pos="360"/>
          <w:tab w:val="num" w:pos="928"/>
        </w:tabs>
        <w:ind w:left="360"/>
        <w:jc w:val="both"/>
        <w:rPr>
          <w:rFonts w:ascii="Times New Roman" w:hAnsi="Times New Roman"/>
        </w:rPr>
      </w:pPr>
      <w:r w:rsidRPr="009B12E9">
        <w:rPr>
          <w:rFonts w:ascii="Times New Roman" w:hAnsi="Times New Roman"/>
        </w:rPr>
        <w:t>Completează lunar registrul jurnal și anual registrul inventar conform Ordinului 2634/2015 privind documentele financiar - contabile.</w:t>
      </w:r>
    </w:p>
    <w:p w:rsidR="009B12E9" w:rsidRPr="009B12E9" w:rsidRDefault="009B12E9" w:rsidP="009B12E9">
      <w:pPr>
        <w:numPr>
          <w:ilvl w:val="1"/>
          <w:numId w:val="4"/>
        </w:numPr>
        <w:tabs>
          <w:tab w:val="num" w:pos="360"/>
          <w:tab w:val="num" w:pos="928"/>
        </w:tabs>
        <w:ind w:left="360"/>
        <w:jc w:val="both"/>
        <w:rPr>
          <w:rFonts w:ascii="Times New Roman" w:hAnsi="Times New Roman"/>
        </w:rPr>
      </w:pPr>
      <w:r w:rsidRPr="009B12E9">
        <w:rPr>
          <w:rFonts w:ascii="Times New Roman" w:hAnsi="Times New Roman"/>
          <w:color w:val="000000"/>
        </w:rPr>
        <w:t xml:space="preserve">Publică în termenul legal, conform art.76^1 din Legea 273/2006 privind finanțele publice locale, </w:t>
      </w:r>
      <w:r w:rsidRPr="009B12E9">
        <w:rPr>
          <w:rFonts w:ascii="Times New Roman" w:hAnsi="Times New Roman"/>
        </w:rPr>
        <w:t>cu modificările și completările ulterioare:</w:t>
      </w:r>
    </w:p>
    <w:p w:rsidR="009B12E9" w:rsidRPr="009B12E9" w:rsidRDefault="009B12E9" w:rsidP="009B12E9">
      <w:pPr>
        <w:ind w:left="630" w:hanging="180"/>
        <w:jc w:val="both"/>
        <w:rPr>
          <w:rFonts w:ascii="Times New Roman" w:hAnsi="Times New Roman"/>
          <w:iCs/>
          <w:color w:val="000000"/>
          <w:lang w:eastAsia="x-none"/>
        </w:rPr>
      </w:pPr>
      <w:r w:rsidRPr="009B12E9">
        <w:rPr>
          <w:rFonts w:ascii="Times New Roman" w:hAnsi="Times New Roman"/>
          <w:iCs/>
          <w:color w:val="000000"/>
          <w:lang w:eastAsia="x-none"/>
        </w:rPr>
        <w:t>- pe site-ul ,,ps2.ro’’ situațiile financiare asupra execuției bugetare trimestriale și anuale aferente bugetelor, inclusiv plățile restante și situația plăților lunare;</w:t>
      </w:r>
    </w:p>
    <w:p w:rsidR="009B12E9" w:rsidRPr="009B12E9" w:rsidRDefault="009B12E9" w:rsidP="009B12E9">
      <w:pPr>
        <w:ind w:left="720" w:hanging="180"/>
        <w:jc w:val="both"/>
        <w:rPr>
          <w:rFonts w:ascii="Times New Roman" w:hAnsi="Times New Roman"/>
          <w:iCs/>
          <w:color w:val="000000"/>
          <w:lang w:eastAsia="x-none"/>
        </w:rPr>
      </w:pPr>
      <w:r w:rsidRPr="009B12E9">
        <w:rPr>
          <w:rFonts w:ascii="Times New Roman" w:hAnsi="Times New Roman"/>
          <w:iCs/>
          <w:color w:val="000000"/>
          <w:lang w:eastAsia="x-none"/>
        </w:rPr>
        <w:t>- pe site-ul M.L.P.D.A. situația plăților.</w:t>
      </w:r>
    </w:p>
    <w:p w:rsidR="009B12E9" w:rsidRPr="009B12E9" w:rsidRDefault="009B12E9" w:rsidP="009B12E9">
      <w:pPr>
        <w:numPr>
          <w:ilvl w:val="1"/>
          <w:numId w:val="4"/>
        </w:numPr>
        <w:tabs>
          <w:tab w:val="num" w:pos="360"/>
          <w:tab w:val="num" w:pos="450"/>
        </w:tabs>
        <w:ind w:left="720" w:hanging="720"/>
        <w:jc w:val="both"/>
        <w:rPr>
          <w:rFonts w:ascii="Times New Roman" w:hAnsi="Times New Roman"/>
          <w:iCs/>
          <w:lang w:eastAsia="x-none"/>
        </w:rPr>
      </w:pPr>
      <w:r w:rsidRPr="009B12E9">
        <w:rPr>
          <w:rFonts w:ascii="Times New Roman" w:hAnsi="Times New Roman"/>
          <w:iCs/>
          <w:color w:val="000000"/>
          <w:lang w:eastAsia="x-none"/>
        </w:rPr>
        <w:t>Arhivează periodic fizic și electronic documentele conform normelor legale.</w:t>
      </w:r>
    </w:p>
    <w:p w:rsidR="009B12E9" w:rsidRPr="009B12E9" w:rsidRDefault="009B12E9" w:rsidP="009B12E9">
      <w:pPr>
        <w:numPr>
          <w:ilvl w:val="1"/>
          <w:numId w:val="4"/>
        </w:numPr>
        <w:tabs>
          <w:tab w:val="num" w:pos="360"/>
          <w:tab w:val="num" w:pos="450"/>
        </w:tabs>
        <w:ind w:left="360"/>
        <w:jc w:val="both"/>
        <w:rPr>
          <w:rFonts w:ascii="Times New Roman" w:hAnsi="Times New Roman"/>
          <w:iCs/>
          <w:lang w:eastAsia="x-none"/>
        </w:rPr>
      </w:pPr>
      <w:r w:rsidRPr="009B12E9">
        <w:rPr>
          <w:rFonts w:ascii="Times New Roman" w:hAnsi="Times New Roman"/>
          <w:iCs/>
          <w:lang w:eastAsia="x-none"/>
        </w:rPr>
        <w:t>Participa activ la acțiunile organelor de control și duce la îndeplinire solicitările șefului serviciului privind documentațiile și situațiile cerute în termenele limită prevăzute de organele de control sau alte instituții abilitate.</w:t>
      </w:r>
    </w:p>
    <w:p w:rsidR="009B12E9" w:rsidRPr="009B12E9" w:rsidRDefault="009B12E9" w:rsidP="009B12E9">
      <w:pPr>
        <w:numPr>
          <w:ilvl w:val="1"/>
          <w:numId w:val="4"/>
        </w:numPr>
        <w:tabs>
          <w:tab w:val="num" w:pos="360"/>
          <w:tab w:val="num" w:pos="450"/>
        </w:tabs>
        <w:ind w:left="360"/>
        <w:jc w:val="both"/>
        <w:rPr>
          <w:rFonts w:ascii="Times New Roman" w:hAnsi="Times New Roman"/>
          <w:iCs/>
          <w:lang w:eastAsia="x-none"/>
        </w:rPr>
      </w:pPr>
      <w:r w:rsidRPr="009B12E9">
        <w:rPr>
          <w:rFonts w:ascii="Times New Roman" w:hAnsi="Times New Roman"/>
          <w:iCs/>
          <w:noProof/>
          <w:lang w:eastAsia="x-none"/>
        </w:rPr>
        <w:t>Redactează diverse adrese şi scrisori (cu caracter ocazional) ale serviciului, adresate  organizaţiilor sau instituţiilor, referitoare la activitatea pe care o desfăşoară.</w:t>
      </w:r>
    </w:p>
    <w:p w:rsidR="009B12E9" w:rsidRPr="009B12E9" w:rsidRDefault="009B12E9" w:rsidP="009B12E9">
      <w:pPr>
        <w:numPr>
          <w:ilvl w:val="1"/>
          <w:numId w:val="4"/>
        </w:numPr>
        <w:tabs>
          <w:tab w:val="num" w:pos="360"/>
          <w:tab w:val="num" w:pos="450"/>
        </w:tabs>
        <w:ind w:left="360"/>
        <w:jc w:val="both"/>
        <w:rPr>
          <w:rFonts w:ascii="Times New Roman" w:hAnsi="Times New Roman"/>
          <w:iCs/>
          <w:lang w:eastAsia="x-none"/>
        </w:rPr>
      </w:pPr>
      <w:r w:rsidRPr="009B12E9">
        <w:rPr>
          <w:rFonts w:ascii="Times New Roman" w:hAnsi="Times New Roman"/>
          <w:iCs/>
          <w:lang w:eastAsia="x-none"/>
        </w:rPr>
        <w:t xml:space="preserve">Efectuează </w:t>
      </w:r>
      <w:r w:rsidRPr="009B12E9">
        <w:rPr>
          <w:rFonts w:ascii="Times New Roman" w:hAnsi="Times New Roman"/>
          <w:i/>
          <w:iCs/>
          <w:lang w:eastAsia="x-none"/>
        </w:rPr>
        <w:t>orice altă sarcină profesională</w:t>
      </w:r>
      <w:r w:rsidRPr="009B12E9">
        <w:rPr>
          <w:rFonts w:ascii="Times New Roman" w:hAnsi="Times New Roman"/>
          <w:iCs/>
          <w:lang w:eastAsia="x-none"/>
        </w:rPr>
        <w:t xml:space="preserve"> care are legătură cu atribuțiile serviciului, solicitate</w:t>
      </w:r>
      <w:r w:rsidRPr="009B12E9">
        <w:rPr>
          <w:rFonts w:ascii="Times New Roman" w:hAnsi="Times New Roman"/>
          <w:bCs/>
          <w:iCs/>
          <w:lang w:eastAsia="x-none"/>
        </w:rPr>
        <w:t xml:space="preserve"> de Șeful Serviciului sau Directorul Executiv.</w:t>
      </w:r>
    </w:p>
    <w:p w:rsidR="00675E08" w:rsidRPr="00243CA5" w:rsidRDefault="00675E08" w:rsidP="009B12E9">
      <w:pPr>
        <w:autoSpaceDE w:val="0"/>
        <w:autoSpaceDN w:val="0"/>
        <w:adjustRightInd w:val="0"/>
        <w:ind w:left="360"/>
        <w:jc w:val="both"/>
        <w:rPr>
          <w:rFonts w:ascii="Times New Roman" w:hAnsi="Times New Roman"/>
          <w:b/>
          <w:bCs/>
          <w:color w:val="000080"/>
        </w:rPr>
      </w:pPr>
    </w:p>
    <w:sectPr w:rsidR="00675E08" w:rsidRPr="00243CA5" w:rsidSect="009B12E9">
      <w:headerReference w:type="even" r:id="rId9"/>
      <w:headerReference w:type="default" r:id="rId10"/>
      <w:footerReference w:type="even" r:id="rId11"/>
      <w:footerReference w:type="default" r:id="rId12"/>
      <w:headerReference w:type="first" r:id="rId13"/>
      <w:footerReference w:type="first" r:id="rId14"/>
      <w:pgSz w:w="12240" w:h="15840"/>
      <w:pgMar w:top="0" w:right="1440" w:bottom="680" w:left="1440" w:header="227"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713" w:rsidRDefault="00E54713" w:rsidP="00721DC5">
      <w:r>
        <w:separator/>
      </w:r>
    </w:p>
  </w:endnote>
  <w:endnote w:type="continuationSeparator" w:id="0">
    <w:p w:rsidR="00E54713" w:rsidRDefault="00E54713"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E6" w:rsidRDefault="00C742E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E6" w:rsidRDefault="00C742E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E6" w:rsidRDefault="00C742E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713" w:rsidRDefault="00E54713" w:rsidP="00721DC5">
      <w:r>
        <w:separator/>
      </w:r>
    </w:p>
  </w:footnote>
  <w:footnote w:type="continuationSeparator" w:id="0">
    <w:p w:rsidR="00E54713" w:rsidRDefault="00E54713"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E6" w:rsidRDefault="00C742E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C5" w:rsidRDefault="00E54713">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89.5pt;width:44.85pt;height:551.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E6" w:rsidRDefault="00C742E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81EFF"/>
    <w:multiLevelType w:val="hybridMultilevel"/>
    <w:tmpl w:val="B6B6041A"/>
    <w:lvl w:ilvl="0" w:tplc="AC8E5D16">
      <w:start w:val="1"/>
      <w:numFmt w:val="decimal"/>
      <w:lvlText w:val="%1."/>
      <w:lvlJc w:val="left"/>
      <w:pPr>
        <w:tabs>
          <w:tab w:val="num" w:pos="360"/>
        </w:tabs>
        <w:ind w:left="360" w:hanging="360"/>
      </w:pPr>
      <w:rPr>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502"/>
        </w:tabs>
        <w:ind w:left="502"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4633BE1"/>
    <w:multiLevelType w:val="hybridMultilevel"/>
    <w:tmpl w:val="BBEE3C58"/>
    <w:lvl w:ilvl="0" w:tplc="0409000F">
      <w:start w:val="1"/>
      <w:numFmt w:val="decimal"/>
      <w:lvlText w:val="%1."/>
      <w:lvlJc w:val="left"/>
      <w:pPr>
        <w:tabs>
          <w:tab w:val="num" w:pos="720"/>
        </w:tabs>
        <w:ind w:left="720" w:hanging="360"/>
      </w:pPr>
      <w:rPr>
        <w:b/>
        <w:color w:val="auto"/>
        <w:sz w:val="26"/>
        <w:szCs w:val="26"/>
      </w:rPr>
    </w:lvl>
    <w:lvl w:ilvl="1" w:tplc="2D381F12">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25350"/>
    <w:rsid w:val="00045758"/>
    <w:rsid w:val="000C15D5"/>
    <w:rsid w:val="00243CA5"/>
    <w:rsid w:val="002C1211"/>
    <w:rsid w:val="0031605C"/>
    <w:rsid w:val="003B6D64"/>
    <w:rsid w:val="0049275C"/>
    <w:rsid w:val="004A7EB0"/>
    <w:rsid w:val="004B6F67"/>
    <w:rsid w:val="00506380"/>
    <w:rsid w:val="005A3786"/>
    <w:rsid w:val="006517A3"/>
    <w:rsid w:val="00675E08"/>
    <w:rsid w:val="0068283D"/>
    <w:rsid w:val="006D55EA"/>
    <w:rsid w:val="006E4724"/>
    <w:rsid w:val="00721DC5"/>
    <w:rsid w:val="00734BAB"/>
    <w:rsid w:val="00846EAB"/>
    <w:rsid w:val="0086673E"/>
    <w:rsid w:val="00895612"/>
    <w:rsid w:val="009B12E9"/>
    <w:rsid w:val="009C6C9C"/>
    <w:rsid w:val="00A569B4"/>
    <w:rsid w:val="00BC089C"/>
    <w:rsid w:val="00C50F69"/>
    <w:rsid w:val="00C742E6"/>
    <w:rsid w:val="00DE6C32"/>
    <w:rsid w:val="00DE7D82"/>
    <w:rsid w:val="00E2240F"/>
    <w:rsid w:val="00E54713"/>
    <w:rsid w:val="00EB42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1096</Words>
  <Characters>6363</Characters>
  <Application>Microsoft Office Word</Application>
  <DocSecurity>0</DocSecurity>
  <Lines>53</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2022-01-21T05:44:00Z</dcterms:created>
  <dcterms:modified xsi:type="dcterms:W3CDTF">2022-01-21T05:44:00Z</dcterms:modified>
</cp:coreProperties>
</file>