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rsidP="00B9021C">
      <w:pPr>
        <w:ind w:right="-376"/>
      </w:pPr>
      <w:r w:rsidRPr="007D21E8">
        <w:rPr>
          <w:rFonts w:ascii="Times New Roman" w:hAnsi="Times New Roman"/>
          <w:noProof/>
          <w:lang w:val="en-US"/>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2F50DC" w:rsidP="007A2D78">
      <w:pPr>
        <w:ind w:left="360"/>
        <w:contextualSpacing/>
        <w:jc w:val="center"/>
        <w:rPr>
          <w:rFonts w:ascii="Times New Roman" w:hAnsi="Times New Roman"/>
          <w:b/>
          <w:bCs/>
        </w:rPr>
      </w:pPr>
      <w:proofErr w:type="spellStart"/>
      <w:r w:rsidRPr="002F50DC">
        <w:rPr>
          <w:rFonts w:ascii="Times New Roman" w:hAnsi="Times New Roman"/>
          <w:b/>
          <w:bCs/>
        </w:rPr>
        <w:t>Atribuţiile</w:t>
      </w:r>
      <w:proofErr w:type="spellEnd"/>
      <w:r w:rsidRPr="002F50DC">
        <w:rPr>
          <w:rFonts w:ascii="Times New Roman" w:hAnsi="Times New Roman"/>
          <w:b/>
          <w:bCs/>
        </w:rPr>
        <w:t xml:space="preserve"> postului:</w:t>
      </w:r>
      <w:r w:rsidR="007D21E8">
        <w:rPr>
          <w:rFonts w:ascii="Times New Roman" w:hAnsi="Times New Roman"/>
          <w:b/>
          <w:bCs/>
        </w:rPr>
        <w:t xml:space="preserve"> Director </w:t>
      </w:r>
      <w:r w:rsidR="007A2D78">
        <w:rPr>
          <w:rFonts w:ascii="Times New Roman" w:hAnsi="Times New Roman"/>
          <w:b/>
          <w:bCs/>
        </w:rPr>
        <w:t>Executiv al Direcției Investiții Publice</w:t>
      </w:r>
    </w:p>
    <w:p w:rsidR="007D21E8" w:rsidRPr="002F50DC" w:rsidRDefault="007D21E8" w:rsidP="007A2D78">
      <w:pPr>
        <w:ind w:left="360"/>
        <w:contextualSpacing/>
        <w:jc w:val="center"/>
        <w:rPr>
          <w:rFonts w:ascii="Times New Roman" w:hAnsi="Times New Roman"/>
          <w:b/>
          <w:bCs/>
        </w:rPr>
      </w:pP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Identifică activitățile care trebuie desfășurate de structura condusă, delimitează atribuțiile și stabilește obiectivele.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Repartizează echilibrat și echitabil atribuțiile și obiectivele, luând în considerare nivelul, categoria, clasa și gradul profesional al funcțiilor corespunzătoare posturilor din structura pe care o conduce.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Planifică și administrează activitatea din cadrul direcției, creează o viziune realistă asupra rolului Direcției, o transpune în practică și o susține.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Armonizează deciziile și acțiunile personalului, activitățile desfășurate în cadrul structurii din subordine, în vederea realizării obiectivelor propuse.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Depistează deficiențele apărute în cadrul direcției și ia măsurile necesare pentru corectarea în timp util a acestora.</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Adoptă hotărâri și decizii în timp util, cu simț de răspundere și conform competenței legale, cu privire la desfășurarea activității structurii conduse.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Planifică și administrează eficient activitatea personalului din subordine, asigurând sprijinul și motivarea corespunzătoare; creează, implementează și menține politici de personal eficiente.</w:t>
      </w:r>
    </w:p>
    <w:p w:rsidR="007A2D78" w:rsidRPr="007A2D78" w:rsidRDefault="007A2D78" w:rsidP="007A2D78">
      <w:pPr>
        <w:numPr>
          <w:ilvl w:val="0"/>
          <w:numId w:val="5"/>
        </w:numPr>
        <w:ind w:left="360" w:hanging="180"/>
        <w:jc w:val="both"/>
        <w:rPr>
          <w:rFonts w:ascii="Times New Roman" w:hAnsi="Times New Roman"/>
        </w:rPr>
      </w:pPr>
      <w:r w:rsidRPr="007A2D78">
        <w:rPr>
          <w:rFonts w:ascii="Times New Roman" w:hAnsi="Times New Roman"/>
        </w:rPr>
        <w:t>Ia măsuri pentru utilizarea eficientă a  resurselor materiale și financiare alocate.</w:t>
      </w:r>
    </w:p>
    <w:p w:rsidR="007A2D78" w:rsidRPr="007A2D78" w:rsidRDefault="007A2D78" w:rsidP="007A2D78">
      <w:pPr>
        <w:numPr>
          <w:ilvl w:val="0"/>
          <w:numId w:val="5"/>
        </w:numPr>
        <w:ind w:left="360" w:right="202" w:hanging="180"/>
        <w:jc w:val="both"/>
        <w:rPr>
          <w:rFonts w:ascii="Times New Roman" w:hAnsi="Times New Roman"/>
        </w:rPr>
      </w:pPr>
      <w:r w:rsidRPr="007A2D78">
        <w:rPr>
          <w:rFonts w:ascii="Times New Roman" w:hAnsi="Times New Roman"/>
        </w:rPr>
        <w:t>Analizează eficiența activității salariaților din structura condusă și evaluează performanțele profesionale ale subordonaților direcți</w:t>
      </w:r>
    </w:p>
    <w:p w:rsidR="007A2D78" w:rsidRPr="007A2D78" w:rsidRDefault="007A2D78" w:rsidP="007A2D78">
      <w:pPr>
        <w:numPr>
          <w:ilvl w:val="0"/>
          <w:numId w:val="5"/>
        </w:numPr>
        <w:ind w:left="360" w:right="202" w:hanging="180"/>
        <w:jc w:val="both"/>
        <w:rPr>
          <w:rFonts w:ascii="Times New Roman" w:hAnsi="Times New Roman"/>
        </w:rPr>
      </w:pPr>
      <w:r w:rsidRPr="007A2D78">
        <w:rPr>
          <w:rFonts w:ascii="Times New Roman" w:hAnsi="Times New Roman"/>
        </w:rPr>
        <w:t xml:space="preserve"> Instruiește personalul din subordine în legătură cu noile reglementări legislative legate de activitatea structurii pe care o conduce.</w:t>
      </w:r>
    </w:p>
    <w:p w:rsidR="007A2D78" w:rsidRPr="007A2D78" w:rsidRDefault="007A2D78" w:rsidP="007A2D78">
      <w:pPr>
        <w:numPr>
          <w:ilvl w:val="0"/>
          <w:numId w:val="5"/>
        </w:numPr>
        <w:tabs>
          <w:tab w:val="num" w:pos="426"/>
        </w:tabs>
        <w:ind w:hanging="578"/>
        <w:jc w:val="both"/>
        <w:rPr>
          <w:rFonts w:ascii="Times New Roman" w:hAnsi="Times New Roman"/>
        </w:rPr>
      </w:pPr>
      <w:r w:rsidRPr="007A2D78">
        <w:rPr>
          <w:rFonts w:ascii="Times New Roman" w:hAnsi="Times New Roman"/>
          <w:bCs/>
        </w:rPr>
        <w:t xml:space="preserve">Organizează, îndrumă și coordonează </w:t>
      </w:r>
      <w:r w:rsidRPr="007A2D78">
        <w:rPr>
          <w:rFonts w:ascii="Times New Roman" w:hAnsi="Times New Roman"/>
        </w:rPr>
        <w:t>activitatea următoarelor structuri:</w:t>
      </w:r>
    </w:p>
    <w:p w:rsidR="007A2D78" w:rsidRPr="007A2D78" w:rsidRDefault="007A2D78" w:rsidP="007A2D78">
      <w:pPr>
        <w:numPr>
          <w:ilvl w:val="0"/>
          <w:numId w:val="6"/>
        </w:numPr>
        <w:ind w:right="202"/>
        <w:jc w:val="both"/>
        <w:rPr>
          <w:rFonts w:ascii="Times New Roman" w:hAnsi="Times New Roman"/>
        </w:rPr>
      </w:pPr>
      <w:r w:rsidRPr="007A2D78">
        <w:rPr>
          <w:rFonts w:ascii="Times New Roman" w:hAnsi="Times New Roman"/>
        </w:rPr>
        <w:t>Birou Documentații Tehnice</w:t>
      </w:r>
    </w:p>
    <w:p w:rsidR="007A2D78" w:rsidRPr="007A2D78" w:rsidRDefault="007A2D78" w:rsidP="007A2D78">
      <w:pPr>
        <w:numPr>
          <w:ilvl w:val="0"/>
          <w:numId w:val="6"/>
        </w:numPr>
        <w:ind w:right="202"/>
        <w:jc w:val="both"/>
        <w:rPr>
          <w:rFonts w:ascii="Times New Roman" w:hAnsi="Times New Roman"/>
        </w:rPr>
      </w:pPr>
      <w:r w:rsidRPr="007A2D78">
        <w:rPr>
          <w:rFonts w:ascii="Times New Roman" w:hAnsi="Times New Roman"/>
        </w:rPr>
        <w:t>Compartiment Derulare Investiții</w:t>
      </w:r>
    </w:p>
    <w:p w:rsidR="007A2D78" w:rsidRPr="007A2D78" w:rsidRDefault="007A2D78" w:rsidP="007A2D78">
      <w:pPr>
        <w:numPr>
          <w:ilvl w:val="0"/>
          <w:numId w:val="6"/>
        </w:numPr>
        <w:ind w:right="202"/>
        <w:jc w:val="both"/>
        <w:rPr>
          <w:rFonts w:ascii="Times New Roman" w:hAnsi="Times New Roman"/>
        </w:rPr>
      </w:pPr>
      <w:r w:rsidRPr="007A2D78">
        <w:rPr>
          <w:rFonts w:ascii="Times New Roman" w:hAnsi="Times New Roman"/>
        </w:rPr>
        <w:t>Serviciul Relații cu Asociații de Proprietari</w:t>
      </w:r>
    </w:p>
    <w:p w:rsidR="007A2D78" w:rsidRPr="007A2D78" w:rsidRDefault="007A2D78" w:rsidP="007A2D78">
      <w:pPr>
        <w:numPr>
          <w:ilvl w:val="0"/>
          <w:numId w:val="5"/>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bCs/>
          <w:lang w:eastAsia="ro-RO"/>
        </w:rPr>
        <w:t xml:space="preserve">Coordonează activitatea privind </w:t>
      </w:r>
      <w:r w:rsidRPr="007A2D78">
        <w:rPr>
          <w:rFonts w:ascii="Times New Roman" w:hAnsi="Times New Roman"/>
          <w:iCs/>
          <w:lang w:eastAsia="ro-RO"/>
        </w:rPr>
        <w:t xml:space="preserve">urmărirea derulării contractelor de achiziție publică și a contractelor subsecvente aferente acordurilor cadru </w:t>
      </w:r>
      <w:r w:rsidRPr="007A2D78">
        <w:rPr>
          <w:rFonts w:ascii="Times New Roman" w:hAnsi="Times New Roman"/>
          <w:lang w:eastAsia="ro-RO"/>
        </w:rPr>
        <w:t xml:space="preserve">privind prestarea serviciilor și execuția lucrărilor în conformitate cu clauzele din contractul de </w:t>
      </w:r>
      <w:proofErr w:type="spellStart"/>
      <w:r w:rsidRPr="007A2D78">
        <w:rPr>
          <w:rFonts w:ascii="Times New Roman" w:hAnsi="Times New Roman"/>
          <w:lang w:eastAsia="ro-RO"/>
        </w:rPr>
        <w:t>achiziţie</w:t>
      </w:r>
      <w:proofErr w:type="spellEnd"/>
      <w:r w:rsidRPr="007A2D78">
        <w:rPr>
          <w:rFonts w:ascii="Times New Roman" w:hAnsi="Times New Roman"/>
          <w:lang w:eastAsia="ro-RO"/>
        </w:rPr>
        <w:t xml:space="preserve"> publică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graficul de realizare pentru: </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lang w:eastAsia="ro-RO"/>
        </w:rPr>
      </w:pPr>
      <w:r w:rsidRPr="007A2D78">
        <w:rPr>
          <w:rFonts w:ascii="Times New Roman" w:hAnsi="Times New Roman"/>
          <w:lang w:eastAsia="ro-RO"/>
        </w:rPr>
        <w:t xml:space="preserve">execuția lucrărilor de construire, modernizare, reparare, extindere a clădirilor aflate în administrarea Sectorului 2 al Municipiului </w:t>
      </w:r>
      <w:proofErr w:type="spellStart"/>
      <w:r w:rsidRPr="007A2D78">
        <w:rPr>
          <w:rFonts w:ascii="Times New Roman" w:hAnsi="Times New Roman"/>
          <w:lang w:eastAsia="ro-RO"/>
        </w:rPr>
        <w:t>Bucureşti</w:t>
      </w:r>
      <w:proofErr w:type="spellEnd"/>
      <w:r w:rsidRPr="007A2D78">
        <w:rPr>
          <w:rFonts w:ascii="Times New Roman" w:hAnsi="Times New Roman"/>
          <w:lang w:eastAsia="ro-RO"/>
        </w:rPr>
        <w:t xml:space="preserve">, a lucrărilor de construire, modernizare sau extindere a infrastructurii sportive, a clădirilor publice destinate prestării serviciilor sociale, în parteneriat cu DGASPC, după caz, a </w:t>
      </w:r>
      <w:proofErr w:type="spellStart"/>
      <w:r w:rsidRPr="007A2D78">
        <w:rPr>
          <w:rFonts w:ascii="Times New Roman" w:hAnsi="Times New Roman"/>
          <w:lang w:eastAsia="ro-RO"/>
        </w:rPr>
        <w:t>creşelor</w:t>
      </w:r>
      <w:proofErr w:type="spellEnd"/>
      <w:r w:rsidRPr="007A2D78">
        <w:rPr>
          <w:rFonts w:ascii="Times New Roman" w:hAnsi="Times New Roman"/>
          <w:lang w:eastAsia="ro-RO"/>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lang w:eastAsia="ro-RO"/>
        </w:rPr>
      </w:pPr>
      <w:r w:rsidRPr="007A2D78">
        <w:rPr>
          <w:rFonts w:ascii="Times New Roman" w:hAnsi="Times New Roman"/>
          <w:lang w:eastAsia="ro-RO"/>
        </w:rPr>
        <w:t xml:space="preserve"> servicii de consultanță, supervizare și dirigenție de șantier aferente lucrărilor de construire, modernizare, reparare, extindere a clădirilor aflate în administrarea Sectorului 2 al Municipiului </w:t>
      </w:r>
      <w:proofErr w:type="spellStart"/>
      <w:r w:rsidRPr="007A2D78">
        <w:rPr>
          <w:rFonts w:ascii="Times New Roman" w:hAnsi="Times New Roman"/>
          <w:lang w:eastAsia="ro-RO"/>
        </w:rPr>
        <w:t>Bucureşti</w:t>
      </w:r>
      <w:proofErr w:type="spellEnd"/>
      <w:r w:rsidRPr="007A2D78">
        <w:rPr>
          <w:rFonts w:ascii="Times New Roman" w:hAnsi="Times New Roman"/>
          <w:lang w:eastAsia="ro-RO"/>
        </w:rPr>
        <w:t xml:space="preserve">, a lucrărilor de construire, modernizare sau extindere a infrastructurii sportive, a clădirilor publice destinate prestării serviciilor sociale, în parteneriat cu DGASPC, după caz, a </w:t>
      </w:r>
      <w:proofErr w:type="spellStart"/>
      <w:r w:rsidRPr="007A2D78">
        <w:rPr>
          <w:rFonts w:ascii="Times New Roman" w:hAnsi="Times New Roman"/>
          <w:lang w:eastAsia="ro-RO"/>
        </w:rPr>
        <w:t>creşelor</w:t>
      </w:r>
      <w:proofErr w:type="spellEnd"/>
      <w:r w:rsidRPr="007A2D78">
        <w:rPr>
          <w:rFonts w:ascii="Times New Roman" w:hAnsi="Times New Roman"/>
          <w:lang w:eastAsia="ro-RO"/>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lang w:eastAsia="ro-RO"/>
        </w:rPr>
      </w:pPr>
      <w:r w:rsidRPr="007A2D78">
        <w:rPr>
          <w:rFonts w:ascii="Times New Roman" w:hAnsi="Times New Roman"/>
          <w:lang w:eastAsia="ro-RO"/>
        </w:rPr>
        <w:lastRenderedPageBreak/>
        <w:t xml:space="preserve">servicii de întocmire a documentațiilor în baza cărora se execută lucrările de construire, modernizare, reparare, extindere a clădirilor aflate în administrarea Sectorului 2 al Municipiului </w:t>
      </w:r>
      <w:proofErr w:type="spellStart"/>
      <w:r w:rsidRPr="007A2D78">
        <w:rPr>
          <w:rFonts w:ascii="Times New Roman" w:hAnsi="Times New Roman"/>
          <w:lang w:eastAsia="ro-RO"/>
        </w:rPr>
        <w:t>Bucureşti</w:t>
      </w:r>
      <w:proofErr w:type="spellEnd"/>
      <w:r w:rsidRPr="007A2D78">
        <w:rPr>
          <w:rFonts w:ascii="Times New Roman" w:hAnsi="Times New Roman"/>
          <w:lang w:eastAsia="ro-RO"/>
        </w:rPr>
        <w:t xml:space="preserve">, a lucrărilor de construire, modernizare sau extindere a infrastructurii sportive, a clădirilor publice destinate prestării serviciilor sociale, în parteneriat cu DGASPC, după caz, a </w:t>
      </w:r>
      <w:proofErr w:type="spellStart"/>
      <w:r w:rsidRPr="007A2D78">
        <w:rPr>
          <w:rFonts w:ascii="Times New Roman" w:hAnsi="Times New Roman"/>
          <w:lang w:eastAsia="ro-RO"/>
        </w:rPr>
        <w:t>creşelor</w:t>
      </w:r>
      <w:proofErr w:type="spellEnd"/>
      <w:r w:rsidRPr="007A2D78">
        <w:rPr>
          <w:rFonts w:ascii="Times New Roman" w:hAnsi="Times New Roman"/>
          <w:lang w:eastAsia="ro-RO"/>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 (DALI, SF, etc.) inclusiv a terenurilor aferente acestora;</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lang w:eastAsia="ro-RO"/>
        </w:rPr>
        <w:t xml:space="preserve">execuția lucrărilor de investiții în domeniul construirii, modernizării, extinderii </w:t>
      </w:r>
      <w:proofErr w:type="spellStart"/>
      <w:r w:rsidRPr="007A2D78">
        <w:rPr>
          <w:rFonts w:ascii="Times New Roman" w:hAnsi="Times New Roman"/>
          <w:lang w:eastAsia="ro-RO"/>
        </w:rPr>
        <w:t>reţelei</w:t>
      </w:r>
      <w:proofErr w:type="spellEnd"/>
      <w:r w:rsidRPr="007A2D78">
        <w:rPr>
          <w:rFonts w:ascii="Times New Roman" w:hAnsi="Times New Roman"/>
          <w:lang w:eastAsia="ro-RO"/>
        </w:rPr>
        <w:t xml:space="preserve"> stradale </w:t>
      </w:r>
      <w:proofErr w:type="spellStart"/>
      <w:r w:rsidRPr="007A2D78">
        <w:rPr>
          <w:rFonts w:ascii="Times New Roman" w:hAnsi="Times New Roman"/>
          <w:lang w:eastAsia="ro-RO"/>
        </w:rPr>
        <w:t>avand</w:t>
      </w:r>
      <w:proofErr w:type="spellEnd"/>
      <w:r w:rsidRPr="007A2D78">
        <w:rPr>
          <w:rFonts w:ascii="Times New Roman" w:hAnsi="Times New Roman"/>
          <w:lang w:eastAsia="ro-RO"/>
        </w:rPr>
        <w:t xml:space="preserve"> ca scop </w:t>
      </w:r>
      <w:proofErr w:type="spellStart"/>
      <w:r w:rsidRPr="007A2D78">
        <w:rPr>
          <w:rFonts w:ascii="Times New Roman" w:hAnsi="Times New Roman"/>
          <w:lang w:eastAsia="ro-RO"/>
        </w:rPr>
        <w:t>imbunatatirea</w:t>
      </w:r>
      <w:proofErr w:type="spellEnd"/>
      <w:r w:rsidRPr="007A2D78">
        <w:rPr>
          <w:rFonts w:ascii="Times New Roman" w:hAnsi="Times New Roman"/>
          <w:lang w:eastAsia="ro-RO"/>
        </w:rPr>
        <w:t xml:space="preserve"> infrastructurii de transport public sau transport alternativ și creșterea accesibilității pietonale prin construirea de parcaje, marcaje rutiere, piste de biciclete, inclusiv spații de parcare pentru biciclete și </w:t>
      </w:r>
      <w:proofErr w:type="spellStart"/>
      <w:r w:rsidRPr="007A2D78">
        <w:rPr>
          <w:rFonts w:ascii="Times New Roman" w:hAnsi="Times New Roman"/>
          <w:lang w:eastAsia="ro-RO"/>
        </w:rPr>
        <w:t>mopede</w:t>
      </w:r>
      <w:proofErr w:type="spellEnd"/>
      <w:r w:rsidRPr="007A2D78">
        <w:rPr>
          <w:rFonts w:ascii="Times New Roman" w:hAnsi="Times New Roman"/>
          <w:lang w:eastAsia="ro-RO"/>
        </w:rPr>
        <w:t xml:space="preserve">,  zone pietonale, căi de rulare pentru tramvaie,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aşteptare</w:t>
      </w:r>
      <w:proofErr w:type="spellEnd"/>
      <w:r w:rsidRPr="007A2D78">
        <w:rPr>
          <w:rFonts w:ascii="Times New Roman" w:hAnsi="Times New Roman"/>
          <w:lang w:eastAsia="ro-RO"/>
        </w:rPr>
        <w:t xml:space="preserve"> pentru mijloacele de transport public, </w:t>
      </w:r>
      <w:proofErr w:type="spellStart"/>
      <w:r w:rsidRPr="007A2D78">
        <w:rPr>
          <w:rFonts w:ascii="Times New Roman" w:hAnsi="Times New Roman"/>
          <w:lang w:eastAsia="ro-RO"/>
        </w:rPr>
        <w:t>reţea</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încărcare electrică pe arterele mari de circulație, bulevarde și străzile adiacente, în conformitate cu </w:t>
      </w:r>
      <w:proofErr w:type="spellStart"/>
      <w:r w:rsidRPr="007A2D78">
        <w:rPr>
          <w:rFonts w:ascii="Times New Roman" w:hAnsi="Times New Roman"/>
          <w:lang w:eastAsia="ro-RO"/>
        </w:rPr>
        <w:t>competenţele</w:t>
      </w:r>
      <w:proofErr w:type="spellEnd"/>
      <w:r w:rsidRPr="007A2D78">
        <w:rPr>
          <w:rFonts w:ascii="Times New Roman" w:hAnsi="Times New Roman"/>
          <w:lang w:eastAsia="ro-RO"/>
        </w:rPr>
        <w:t xml:space="preserve"> Primăriei Sectorului 2;</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iCs/>
          <w:lang w:eastAsia="ro-RO"/>
        </w:rPr>
        <w:t>servicii de consultanță, supervizare și dirigenție de șantier aferente</w:t>
      </w:r>
      <w:r w:rsidRPr="007A2D78">
        <w:rPr>
          <w:rFonts w:ascii="Times New Roman" w:hAnsi="Times New Roman"/>
          <w:lang w:eastAsia="ro-RO"/>
        </w:rPr>
        <w:t xml:space="preserve"> lucrărilor de investiții în domeniul construirii, modernizării, extinderii </w:t>
      </w:r>
      <w:proofErr w:type="spellStart"/>
      <w:r w:rsidRPr="007A2D78">
        <w:rPr>
          <w:rFonts w:ascii="Times New Roman" w:hAnsi="Times New Roman"/>
          <w:lang w:eastAsia="ro-RO"/>
        </w:rPr>
        <w:t>reţelei</w:t>
      </w:r>
      <w:proofErr w:type="spellEnd"/>
      <w:r w:rsidRPr="007A2D78">
        <w:rPr>
          <w:rFonts w:ascii="Times New Roman" w:hAnsi="Times New Roman"/>
          <w:lang w:eastAsia="ro-RO"/>
        </w:rPr>
        <w:t xml:space="preserve"> stradale </w:t>
      </w:r>
      <w:proofErr w:type="spellStart"/>
      <w:r w:rsidRPr="007A2D78">
        <w:rPr>
          <w:rFonts w:ascii="Times New Roman" w:hAnsi="Times New Roman"/>
          <w:lang w:eastAsia="ro-RO"/>
        </w:rPr>
        <w:t>avand</w:t>
      </w:r>
      <w:proofErr w:type="spellEnd"/>
      <w:r w:rsidRPr="007A2D78">
        <w:rPr>
          <w:rFonts w:ascii="Times New Roman" w:hAnsi="Times New Roman"/>
          <w:lang w:eastAsia="ro-RO"/>
        </w:rPr>
        <w:t xml:space="preserve"> ca scop </w:t>
      </w:r>
      <w:proofErr w:type="spellStart"/>
      <w:r w:rsidRPr="007A2D78">
        <w:rPr>
          <w:rFonts w:ascii="Times New Roman" w:hAnsi="Times New Roman"/>
          <w:lang w:eastAsia="ro-RO"/>
        </w:rPr>
        <w:t>imbunatatirea</w:t>
      </w:r>
      <w:proofErr w:type="spellEnd"/>
      <w:r w:rsidRPr="007A2D78">
        <w:rPr>
          <w:rFonts w:ascii="Times New Roman" w:hAnsi="Times New Roman"/>
          <w:lang w:eastAsia="ro-RO"/>
        </w:rPr>
        <w:t xml:space="preserve"> infrastructurii de transport public sau transport alternativ și creșterea accesibilității pietonale prin construirea de parcaje, marcaje rutiere, piste de biciclete, inclusiv spații de parcare pentru biciclete și </w:t>
      </w:r>
      <w:proofErr w:type="spellStart"/>
      <w:r w:rsidRPr="007A2D78">
        <w:rPr>
          <w:rFonts w:ascii="Times New Roman" w:hAnsi="Times New Roman"/>
          <w:lang w:eastAsia="ro-RO"/>
        </w:rPr>
        <w:t>mopede</w:t>
      </w:r>
      <w:proofErr w:type="spellEnd"/>
      <w:r w:rsidRPr="007A2D78">
        <w:rPr>
          <w:rFonts w:ascii="Times New Roman" w:hAnsi="Times New Roman"/>
          <w:lang w:eastAsia="ro-RO"/>
        </w:rPr>
        <w:t xml:space="preserve">,  zone pietonale, căi de rulare pentru tramvaie,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aşteptare</w:t>
      </w:r>
      <w:proofErr w:type="spellEnd"/>
      <w:r w:rsidRPr="007A2D78">
        <w:rPr>
          <w:rFonts w:ascii="Times New Roman" w:hAnsi="Times New Roman"/>
          <w:lang w:eastAsia="ro-RO"/>
        </w:rPr>
        <w:t xml:space="preserve"> pentru mijloacele de transport public, </w:t>
      </w:r>
      <w:proofErr w:type="spellStart"/>
      <w:r w:rsidRPr="007A2D78">
        <w:rPr>
          <w:rFonts w:ascii="Times New Roman" w:hAnsi="Times New Roman"/>
          <w:lang w:eastAsia="ro-RO"/>
        </w:rPr>
        <w:t>reţea</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încărcare electrică pe arterele mari de circulație, bulevarde și străzile adiacente, în conformitate cu </w:t>
      </w:r>
      <w:proofErr w:type="spellStart"/>
      <w:r w:rsidRPr="007A2D78">
        <w:rPr>
          <w:rFonts w:ascii="Times New Roman" w:hAnsi="Times New Roman"/>
          <w:lang w:eastAsia="ro-RO"/>
        </w:rPr>
        <w:t>competenţele</w:t>
      </w:r>
      <w:proofErr w:type="spellEnd"/>
      <w:r w:rsidRPr="007A2D78">
        <w:rPr>
          <w:rFonts w:ascii="Times New Roman" w:hAnsi="Times New Roman"/>
          <w:lang w:eastAsia="ro-RO"/>
        </w:rPr>
        <w:t xml:space="preserve"> Primăriei Sectorului 2;</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iCs/>
          <w:lang w:eastAsia="ro-RO"/>
        </w:rPr>
        <w:t xml:space="preserve">servicii de întocmire a documentațiilor în baza cărora se execută </w:t>
      </w:r>
      <w:r w:rsidRPr="007A2D78">
        <w:rPr>
          <w:rFonts w:ascii="Times New Roman" w:hAnsi="Times New Roman"/>
          <w:lang w:eastAsia="ro-RO"/>
        </w:rPr>
        <w:t xml:space="preserve">lucrările de investiții în domeniul construirii, modernizării, extinderii </w:t>
      </w:r>
      <w:proofErr w:type="spellStart"/>
      <w:r w:rsidRPr="007A2D78">
        <w:rPr>
          <w:rFonts w:ascii="Times New Roman" w:hAnsi="Times New Roman"/>
          <w:lang w:eastAsia="ro-RO"/>
        </w:rPr>
        <w:t>reţelei</w:t>
      </w:r>
      <w:proofErr w:type="spellEnd"/>
      <w:r w:rsidRPr="007A2D78">
        <w:rPr>
          <w:rFonts w:ascii="Times New Roman" w:hAnsi="Times New Roman"/>
          <w:lang w:eastAsia="ro-RO"/>
        </w:rPr>
        <w:t xml:space="preserve"> stradale </w:t>
      </w:r>
      <w:proofErr w:type="spellStart"/>
      <w:r w:rsidRPr="007A2D78">
        <w:rPr>
          <w:rFonts w:ascii="Times New Roman" w:hAnsi="Times New Roman"/>
          <w:lang w:eastAsia="ro-RO"/>
        </w:rPr>
        <w:t>avand</w:t>
      </w:r>
      <w:proofErr w:type="spellEnd"/>
      <w:r w:rsidRPr="007A2D78">
        <w:rPr>
          <w:rFonts w:ascii="Times New Roman" w:hAnsi="Times New Roman"/>
          <w:lang w:eastAsia="ro-RO"/>
        </w:rPr>
        <w:t xml:space="preserve"> ca scop </w:t>
      </w:r>
      <w:proofErr w:type="spellStart"/>
      <w:r w:rsidRPr="007A2D78">
        <w:rPr>
          <w:rFonts w:ascii="Times New Roman" w:hAnsi="Times New Roman"/>
          <w:lang w:eastAsia="ro-RO"/>
        </w:rPr>
        <w:t>imbunatatirea</w:t>
      </w:r>
      <w:proofErr w:type="spellEnd"/>
      <w:r w:rsidRPr="007A2D78">
        <w:rPr>
          <w:rFonts w:ascii="Times New Roman" w:hAnsi="Times New Roman"/>
          <w:lang w:eastAsia="ro-RO"/>
        </w:rPr>
        <w:t xml:space="preserve"> infrastructurii de transport public sau transport alternativ și creșterea accesibilității pietonale prin construirea de parcaje, marcaje rutiere, piste de biciclete, inclusiv spații de parcare pentru biciclete și </w:t>
      </w:r>
      <w:proofErr w:type="spellStart"/>
      <w:r w:rsidRPr="007A2D78">
        <w:rPr>
          <w:rFonts w:ascii="Times New Roman" w:hAnsi="Times New Roman"/>
          <w:lang w:eastAsia="ro-RO"/>
        </w:rPr>
        <w:t>mopede</w:t>
      </w:r>
      <w:proofErr w:type="spellEnd"/>
      <w:r w:rsidRPr="007A2D78">
        <w:rPr>
          <w:rFonts w:ascii="Times New Roman" w:hAnsi="Times New Roman"/>
          <w:lang w:eastAsia="ro-RO"/>
        </w:rPr>
        <w:t xml:space="preserve">,  zone pietonale, căi de rulare pentru tramvaie,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aşteptare</w:t>
      </w:r>
      <w:proofErr w:type="spellEnd"/>
      <w:r w:rsidRPr="007A2D78">
        <w:rPr>
          <w:rFonts w:ascii="Times New Roman" w:hAnsi="Times New Roman"/>
          <w:lang w:eastAsia="ro-RO"/>
        </w:rPr>
        <w:t xml:space="preserve"> pentru mijloacele de transport public, </w:t>
      </w:r>
      <w:proofErr w:type="spellStart"/>
      <w:r w:rsidRPr="007A2D78">
        <w:rPr>
          <w:rFonts w:ascii="Times New Roman" w:hAnsi="Times New Roman"/>
          <w:lang w:eastAsia="ro-RO"/>
        </w:rPr>
        <w:t>reţea</w:t>
      </w:r>
      <w:proofErr w:type="spellEnd"/>
      <w:r w:rsidRPr="007A2D78">
        <w:rPr>
          <w:rFonts w:ascii="Times New Roman" w:hAnsi="Times New Roman"/>
          <w:lang w:eastAsia="ro-RO"/>
        </w:rPr>
        <w:t xml:space="preserve"> de </w:t>
      </w:r>
      <w:proofErr w:type="spellStart"/>
      <w:r w:rsidRPr="007A2D78">
        <w:rPr>
          <w:rFonts w:ascii="Times New Roman" w:hAnsi="Times New Roman"/>
          <w:lang w:eastAsia="ro-RO"/>
        </w:rPr>
        <w:t>staţii</w:t>
      </w:r>
      <w:proofErr w:type="spellEnd"/>
      <w:r w:rsidRPr="007A2D78">
        <w:rPr>
          <w:rFonts w:ascii="Times New Roman" w:hAnsi="Times New Roman"/>
          <w:lang w:eastAsia="ro-RO"/>
        </w:rPr>
        <w:t xml:space="preserve"> de încărcare electrică pe arterele mari de circulație, bulevarde și străzile adiacente, în conformitate cu </w:t>
      </w:r>
      <w:proofErr w:type="spellStart"/>
      <w:r w:rsidRPr="007A2D78">
        <w:rPr>
          <w:rFonts w:ascii="Times New Roman" w:hAnsi="Times New Roman"/>
          <w:lang w:eastAsia="ro-RO"/>
        </w:rPr>
        <w:t>competenţele</w:t>
      </w:r>
      <w:proofErr w:type="spellEnd"/>
      <w:r w:rsidRPr="007A2D78">
        <w:rPr>
          <w:rFonts w:ascii="Times New Roman" w:hAnsi="Times New Roman"/>
          <w:lang w:eastAsia="ro-RO"/>
        </w:rPr>
        <w:t xml:space="preserve"> Primăriei Sectorului 2;</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proofErr w:type="spellStart"/>
      <w:r w:rsidRPr="007A2D78">
        <w:rPr>
          <w:rFonts w:ascii="Times New Roman" w:hAnsi="Times New Roman"/>
          <w:lang w:eastAsia="ro-RO"/>
        </w:rPr>
        <w:t>execuţia</w:t>
      </w:r>
      <w:proofErr w:type="spellEnd"/>
      <w:r w:rsidRPr="007A2D78">
        <w:rPr>
          <w:rFonts w:ascii="Times New Roman" w:hAnsi="Times New Roman"/>
          <w:lang w:eastAsia="ro-RO"/>
        </w:rPr>
        <w:t xml:space="preserve"> lucrărilor de investiții noi în domeniul construirii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amenajării zonelor de agrement (parcuri cu </w:t>
      </w:r>
      <w:proofErr w:type="spellStart"/>
      <w:r w:rsidRPr="007A2D78">
        <w:rPr>
          <w:rFonts w:ascii="Times New Roman" w:hAnsi="Times New Roman"/>
          <w:lang w:eastAsia="ro-RO"/>
        </w:rPr>
        <w:t>suprafata</w:t>
      </w:r>
      <w:proofErr w:type="spellEnd"/>
      <w:r w:rsidRPr="007A2D78">
        <w:rPr>
          <w:rFonts w:ascii="Times New Roman" w:hAnsi="Times New Roman"/>
          <w:lang w:eastAsia="ro-RO"/>
        </w:rPr>
        <w:t xml:space="preserve"> mai mare de 12 ha, grădini publice, lacuri, cursuri de apă) în conformitate cu limitele de competență ale Primăriei Sectorului 2;</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iCs/>
          <w:lang w:eastAsia="ro-RO"/>
        </w:rPr>
        <w:t>servicii de consultanță, supervizare  și dirigenție de șantier aferente</w:t>
      </w:r>
      <w:r w:rsidRPr="007A2D78">
        <w:rPr>
          <w:rFonts w:ascii="Times New Roman" w:hAnsi="Times New Roman"/>
          <w:lang w:eastAsia="ro-RO"/>
        </w:rPr>
        <w:t xml:space="preserve"> lucrărilor de investiții noi în domeniul construirii,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amenajării zonelor de agrement (parcuri cu </w:t>
      </w:r>
      <w:proofErr w:type="spellStart"/>
      <w:r w:rsidRPr="007A2D78">
        <w:rPr>
          <w:rFonts w:ascii="Times New Roman" w:hAnsi="Times New Roman"/>
          <w:lang w:eastAsia="ro-RO"/>
        </w:rPr>
        <w:t>suprafata</w:t>
      </w:r>
      <w:proofErr w:type="spellEnd"/>
      <w:r w:rsidRPr="007A2D78">
        <w:rPr>
          <w:rFonts w:ascii="Times New Roman" w:hAnsi="Times New Roman"/>
          <w:lang w:eastAsia="ro-RO"/>
        </w:rPr>
        <w:t xml:space="preserve"> mai mare de 12 ha, grădini publice, lacuri, cursuri de apă) în conformitate cu limitele de competență ale Primăriei Sectorului 2;</w:t>
      </w:r>
    </w:p>
    <w:p w:rsidR="007A2D78" w:rsidRPr="007A2D78" w:rsidRDefault="007A2D78" w:rsidP="007A2D78">
      <w:pPr>
        <w:numPr>
          <w:ilvl w:val="0"/>
          <w:numId w:val="7"/>
        </w:numPr>
        <w:tabs>
          <w:tab w:val="num" w:pos="426"/>
        </w:tabs>
        <w:autoSpaceDE w:val="0"/>
        <w:autoSpaceDN w:val="0"/>
        <w:adjustRightInd w:val="0"/>
        <w:ind w:left="426" w:hanging="284"/>
        <w:contextualSpacing/>
        <w:jc w:val="both"/>
        <w:rPr>
          <w:rFonts w:ascii="Times New Roman" w:hAnsi="Times New Roman"/>
          <w:iCs/>
          <w:lang w:eastAsia="ro-RO"/>
        </w:rPr>
      </w:pPr>
      <w:r w:rsidRPr="007A2D78">
        <w:rPr>
          <w:rFonts w:ascii="Times New Roman" w:hAnsi="Times New Roman"/>
          <w:iCs/>
          <w:lang w:eastAsia="ro-RO"/>
        </w:rPr>
        <w:t xml:space="preserve">servicii de întocmire a documentațiilor în baza cărora se execută </w:t>
      </w:r>
      <w:r w:rsidRPr="007A2D78">
        <w:rPr>
          <w:rFonts w:ascii="Times New Roman" w:hAnsi="Times New Roman"/>
          <w:lang w:eastAsia="ro-RO"/>
        </w:rPr>
        <w:t xml:space="preserve">lucrările de investiții noi în domeniul construirii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amenajării zonelor de agrement (parcuri cu </w:t>
      </w:r>
      <w:proofErr w:type="spellStart"/>
      <w:r w:rsidRPr="007A2D78">
        <w:rPr>
          <w:rFonts w:ascii="Times New Roman" w:hAnsi="Times New Roman"/>
          <w:lang w:eastAsia="ro-RO"/>
        </w:rPr>
        <w:t>suprafata</w:t>
      </w:r>
      <w:proofErr w:type="spellEnd"/>
      <w:r w:rsidRPr="007A2D78">
        <w:rPr>
          <w:rFonts w:ascii="Times New Roman" w:hAnsi="Times New Roman"/>
          <w:lang w:eastAsia="ro-RO"/>
        </w:rPr>
        <w:t xml:space="preserve"> mai mare de 12 ha, grădini publice, lacuri, cursuri de apă) în conformitate cu limitele de competență ale Primăriei Sectorului 2;</w:t>
      </w:r>
    </w:p>
    <w:p w:rsidR="007A2D78" w:rsidRPr="007A2D78" w:rsidRDefault="007A2D78" w:rsidP="007A2D78">
      <w:pPr>
        <w:numPr>
          <w:ilvl w:val="0"/>
          <w:numId w:val="5"/>
        </w:numPr>
        <w:tabs>
          <w:tab w:val="num" w:pos="426"/>
        </w:tabs>
        <w:ind w:left="426" w:hanging="284"/>
        <w:contextualSpacing/>
        <w:jc w:val="both"/>
        <w:rPr>
          <w:rFonts w:ascii="Times New Roman" w:hAnsi="Times New Roman"/>
          <w:lang w:eastAsia="ro-RO"/>
        </w:rPr>
      </w:pPr>
      <w:r w:rsidRPr="007A2D78">
        <w:rPr>
          <w:rFonts w:ascii="Times New Roman" w:hAnsi="Times New Roman"/>
          <w:lang w:eastAsia="ro-RO"/>
        </w:rPr>
        <w:t xml:space="preserve">Analizează rezultatele </w:t>
      </w:r>
      <w:proofErr w:type="spellStart"/>
      <w:r w:rsidRPr="007A2D78">
        <w:rPr>
          <w:rFonts w:ascii="Times New Roman" w:hAnsi="Times New Roman"/>
          <w:lang w:eastAsia="ro-RO"/>
        </w:rPr>
        <w:t>obţinute</w:t>
      </w:r>
      <w:proofErr w:type="spellEnd"/>
      <w:r w:rsidRPr="007A2D78">
        <w:rPr>
          <w:rFonts w:ascii="Times New Roman" w:hAnsi="Times New Roman"/>
          <w:lang w:eastAsia="ro-RO"/>
        </w:rPr>
        <w:t xml:space="preserve"> în urma implementării contractelor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a monitorizării </w:t>
      </w:r>
      <w:proofErr w:type="spellStart"/>
      <w:r w:rsidRPr="007A2D78">
        <w:rPr>
          <w:rFonts w:ascii="Times New Roman" w:hAnsi="Times New Roman"/>
          <w:lang w:eastAsia="ro-RO"/>
        </w:rPr>
        <w:t>execuţiei</w:t>
      </w:r>
      <w:proofErr w:type="spellEnd"/>
      <w:r w:rsidRPr="007A2D78">
        <w:rPr>
          <w:rFonts w:ascii="Times New Roman" w:hAnsi="Times New Roman"/>
          <w:lang w:eastAsia="ro-RO"/>
        </w:rPr>
        <w:t xml:space="preserve"> acestora comparativ cu cele preconizate în etapa de planificare, identifică </w:t>
      </w:r>
      <w:proofErr w:type="spellStart"/>
      <w:r w:rsidRPr="007A2D78">
        <w:rPr>
          <w:rFonts w:ascii="Times New Roman" w:hAnsi="Times New Roman"/>
          <w:lang w:eastAsia="ro-RO"/>
        </w:rPr>
        <w:t>necesităţile</w:t>
      </w:r>
      <w:proofErr w:type="spellEnd"/>
      <w:r w:rsidRPr="007A2D78">
        <w:rPr>
          <w:rFonts w:ascii="Times New Roman" w:hAnsi="Times New Roman"/>
          <w:lang w:eastAsia="ro-RO"/>
        </w:rPr>
        <w:t xml:space="preserve"> </w:t>
      </w:r>
      <w:proofErr w:type="spellStart"/>
      <w:r w:rsidRPr="007A2D78">
        <w:rPr>
          <w:rFonts w:ascii="Times New Roman" w:hAnsi="Times New Roman"/>
          <w:lang w:eastAsia="ro-RO"/>
        </w:rPr>
        <w:t>şi</w:t>
      </w:r>
      <w:proofErr w:type="spellEnd"/>
      <w:r w:rsidRPr="007A2D78">
        <w:rPr>
          <w:rFonts w:ascii="Times New Roman" w:hAnsi="Times New Roman"/>
          <w:lang w:eastAsia="ro-RO"/>
        </w:rPr>
        <w:t xml:space="preserve"> propune măsurile de </w:t>
      </w:r>
      <w:proofErr w:type="spellStart"/>
      <w:r w:rsidRPr="007A2D78">
        <w:rPr>
          <w:rFonts w:ascii="Times New Roman" w:hAnsi="Times New Roman"/>
          <w:lang w:eastAsia="ro-RO"/>
        </w:rPr>
        <w:t>îmbunătăţire</w:t>
      </w:r>
      <w:proofErr w:type="spellEnd"/>
      <w:r w:rsidRPr="007A2D78">
        <w:rPr>
          <w:rFonts w:ascii="Times New Roman" w:hAnsi="Times New Roman"/>
          <w:lang w:eastAsia="ro-RO"/>
        </w:rPr>
        <w:t xml:space="preserve"> a </w:t>
      </w:r>
      <w:proofErr w:type="spellStart"/>
      <w:r w:rsidRPr="007A2D78">
        <w:rPr>
          <w:rFonts w:ascii="Times New Roman" w:hAnsi="Times New Roman"/>
          <w:lang w:eastAsia="ro-RO"/>
        </w:rPr>
        <w:t>activităţii</w:t>
      </w:r>
      <w:proofErr w:type="spellEnd"/>
      <w:r w:rsidRPr="007A2D78">
        <w:rPr>
          <w:rFonts w:ascii="Times New Roman" w:hAnsi="Times New Roman"/>
          <w:lang w:eastAsia="ro-RO"/>
        </w:rPr>
        <w:t>;</w:t>
      </w:r>
    </w:p>
    <w:p w:rsidR="007A2D78" w:rsidRPr="007A2D78" w:rsidRDefault="007A2D78" w:rsidP="007A2D78">
      <w:pPr>
        <w:numPr>
          <w:ilvl w:val="0"/>
          <w:numId w:val="5"/>
        </w:numPr>
        <w:tabs>
          <w:tab w:val="num" w:pos="426"/>
        </w:tabs>
        <w:ind w:left="426" w:hanging="284"/>
        <w:contextualSpacing/>
        <w:jc w:val="both"/>
        <w:rPr>
          <w:rFonts w:ascii="Times New Roman" w:hAnsi="Times New Roman"/>
          <w:lang w:eastAsia="ro-RO"/>
        </w:rPr>
      </w:pPr>
      <w:r w:rsidRPr="007A2D78">
        <w:rPr>
          <w:rFonts w:ascii="Times New Roman" w:hAnsi="Times New Roman"/>
          <w:lang w:eastAsia="ro-RO"/>
        </w:rPr>
        <w:t>Participă la elaborarea propunerilor privind finanțarea investițiilor Sectorului 2 ce urmează a se supune aprobării Consiliului Local al Sectorului 2;</w:t>
      </w:r>
    </w:p>
    <w:p w:rsidR="007A2D78" w:rsidRPr="007A2D78" w:rsidRDefault="007A2D78" w:rsidP="007A2D78">
      <w:pPr>
        <w:numPr>
          <w:ilvl w:val="0"/>
          <w:numId w:val="5"/>
        </w:numPr>
        <w:tabs>
          <w:tab w:val="num" w:pos="426"/>
        </w:tabs>
        <w:ind w:left="426" w:right="-11" w:hanging="284"/>
        <w:contextualSpacing/>
        <w:jc w:val="both"/>
        <w:rPr>
          <w:rFonts w:ascii="Times New Roman" w:hAnsi="Times New Roman"/>
          <w:lang w:eastAsia="ro-RO"/>
        </w:rPr>
      </w:pPr>
      <w:r w:rsidRPr="007A2D78">
        <w:rPr>
          <w:rFonts w:ascii="Times New Roman" w:hAnsi="Times New Roman"/>
          <w:bCs/>
          <w:lang w:eastAsia="ro-RO"/>
        </w:rPr>
        <w:t xml:space="preserve">Coordonează activitatea privind </w:t>
      </w:r>
      <w:r w:rsidRPr="007A2D78">
        <w:rPr>
          <w:rFonts w:ascii="Times New Roman" w:hAnsi="Times New Roman"/>
          <w:lang w:eastAsia="ro-RO"/>
        </w:rPr>
        <w:t>întocmirea bazei de date cu privire la contractele derulate la nivelul structurii;</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Studiază, analizează și orientează corespondența direcției către persoanele apte și abilitate să emită răspunsuri la problemele cuprinse în conținutul acesteia.</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Contrasemnează documentele (avize, răspunsuri, somații, cereri, informări, rapoarte, etc.) emise de personalul din subordine.</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lastRenderedPageBreak/>
        <w:t>Verifică modul de rezolvare în termen a lucrărilor repartizate structurii conduse.</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Ia decizii în activitatea desfășurată de salariații din structura condusă atunci când se ivesc probleme de ansamblu, complexe sau ori de câte ori se solicită.</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Stabilește împreună cu șefii serviciilor</w:t>
      </w:r>
      <w:r w:rsidRPr="007A2D78">
        <w:rPr>
          <w:rFonts w:ascii="Times New Roman" w:hAnsi="Times New Roman"/>
          <w:iCs/>
          <w:color w:val="00B050"/>
        </w:rPr>
        <w:t xml:space="preserve"> </w:t>
      </w:r>
      <w:r w:rsidRPr="007A2D78">
        <w:rPr>
          <w:rFonts w:ascii="Times New Roman" w:hAnsi="Times New Roman"/>
          <w:iCs/>
        </w:rPr>
        <w:t>coordonate, planul de acțiune pentru perioada următoare.</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 xml:space="preserve">Elaborează strategii pentru acțiunile de control specifice activității direcției, urmărind eficiența acestora și derularea lor conform strategiei stabilite și informează pe </w:t>
      </w:r>
      <w:r w:rsidRPr="007A2D78">
        <w:rPr>
          <w:rFonts w:ascii="Times New Roman" w:hAnsi="Times New Roman"/>
        </w:rPr>
        <w:t xml:space="preserve">conducătorul </w:t>
      </w:r>
      <w:proofErr w:type="spellStart"/>
      <w:r w:rsidRPr="007A2D78">
        <w:rPr>
          <w:rFonts w:ascii="Times New Roman" w:hAnsi="Times New Roman"/>
        </w:rPr>
        <w:t>instituţiei</w:t>
      </w:r>
      <w:proofErr w:type="spellEnd"/>
      <w:r w:rsidRPr="007A2D78">
        <w:rPr>
          <w:rFonts w:ascii="Times New Roman" w:hAnsi="Times New Roman"/>
          <w:iCs/>
        </w:rPr>
        <w:t xml:space="preserve"> asupra rezultatelor acțiunii.</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iCs/>
        </w:rPr>
        <w:t>Elaborează proiecte de dispoziții, referate de specialitate și proiecte de hotărâri referitoare la activitatea structurii conduse.</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bCs/>
        </w:rPr>
        <w:t>Organizează acordarea concediului de odihnă și a zilelor libere pentru personalul din subordine.</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rPr>
        <w:t>Urmărește utilizarea și gestionarea eficientă a echipamentelor de tehnică de calcul existente în cadrul structurilor direcției.</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rPr>
        <w:t xml:space="preserve">Elaborează strategii pentru acțiunile de informatizare specifice activității direcției, urmărind eficiența acestora și derularea lor conform strategiei stabilite și informează pe conducătorul </w:t>
      </w:r>
      <w:proofErr w:type="spellStart"/>
      <w:r w:rsidRPr="007A2D78">
        <w:rPr>
          <w:rFonts w:ascii="Times New Roman" w:hAnsi="Times New Roman"/>
        </w:rPr>
        <w:t>instituţiei</w:t>
      </w:r>
      <w:proofErr w:type="spellEnd"/>
      <w:r w:rsidRPr="007A2D78">
        <w:rPr>
          <w:rFonts w:ascii="Times New Roman" w:hAnsi="Times New Roman"/>
          <w:iCs/>
        </w:rPr>
        <w:t xml:space="preserve"> </w:t>
      </w:r>
      <w:r w:rsidRPr="007A2D78">
        <w:rPr>
          <w:rFonts w:ascii="Times New Roman" w:hAnsi="Times New Roman"/>
        </w:rPr>
        <w:t>asupra rezultatelor acțiunii.</w:t>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bookmarkStart w:id="0" w:name="_GoBack"/>
      <w:r w:rsidRPr="007A2D78">
        <w:rPr>
          <w:rFonts w:ascii="Times New Roman" w:hAnsi="Times New Roman"/>
        </w:rPr>
        <w:t>Elaborează rapoarte și referate de specialitate pentru proiecte de dispoziții și hotărâri care vizează direct sau colateral activitatea specifică direcției.</w:t>
      </w:r>
    </w:p>
    <w:p w:rsidR="007A2D78" w:rsidRPr="007A2D78" w:rsidRDefault="007A2D78" w:rsidP="00B9021C">
      <w:pPr>
        <w:numPr>
          <w:ilvl w:val="0"/>
          <w:numId w:val="5"/>
        </w:numPr>
        <w:tabs>
          <w:tab w:val="num" w:pos="426"/>
          <w:tab w:val="num" w:pos="3054"/>
        </w:tabs>
        <w:ind w:left="426" w:right="-234" w:hanging="284"/>
        <w:jc w:val="both"/>
        <w:rPr>
          <w:rFonts w:ascii="Times New Roman" w:hAnsi="Times New Roman"/>
        </w:rPr>
      </w:pPr>
      <w:proofErr w:type="spellStart"/>
      <w:r w:rsidRPr="007A2D78">
        <w:rPr>
          <w:rFonts w:ascii="Times New Roman" w:hAnsi="Times New Roman"/>
          <w:lang w:val="en-US"/>
        </w:rPr>
        <w:t>Acordă</w:t>
      </w:r>
      <w:proofErr w:type="spellEnd"/>
      <w:r w:rsidRPr="007A2D78">
        <w:rPr>
          <w:rFonts w:ascii="Times New Roman" w:hAnsi="Times New Roman"/>
          <w:lang w:val="en-US"/>
        </w:rPr>
        <w:t xml:space="preserve"> </w:t>
      </w:r>
      <w:proofErr w:type="spellStart"/>
      <w:r w:rsidRPr="007A2D78">
        <w:rPr>
          <w:rFonts w:ascii="Times New Roman" w:hAnsi="Times New Roman"/>
          <w:lang w:val="en-US"/>
        </w:rPr>
        <w:t>viza</w:t>
      </w:r>
      <w:proofErr w:type="spellEnd"/>
      <w:r w:rsidRPr="007A2D78">
        <w:rPr>
          <w:rFonts w:ascii="Times New Roman" w:hAnsi="Times New Roman"/>
          <w:lang w:val="en-US"/>
        </w:rPr>
        <w:t xml:space="preserve"> de „bun de </w:t>
      </w:r>
      <w:proofErr w:type="spellStart"/>
      <w:r w:rsidRPr="007A2D78">
        <w:rPr>
          <w:rFonts w:ascii="Times New Roman" w:hAnsi="Times New Roman"/>
          <w:lang w:val="en-US"/>
        </w:rPr>
        <w:t>plată</w:t>
      </w:r>
      <w:proofErr w:type="spellEnd"/>
      <w:r w:rsidRPr="007A2D78">
        <w:rPr>
          <w:rFonts w:ascii="Times New Roman" w:hAnsi="Times New Roman"/>
          <w:lang w:val="en-US"/>
        </w:rPr>
        <w:t xml:space="preserve">" </w:t>
      </w:r>
      <w:proofErr w:type="spellStart"/>
      <w:r w:rsidRPr="007A2D78">
        <w:rPr>
          <w:rFonts w:ascii="Times New Roman" w:hAnsi="Times New Roman"/>
          <w:lang w:val="en-US"/>
        </w:rPr>
        <w:t>potrivit</w:t>
      </w:r>
      <w:proofErr w:type="spellEnd"/>
      <w:r w:rsidRPr="007A2D78">
        <w:rPr>
          <w:rFonts w:ascii="Times New Roman" w:hAnsi="Times New Roman"/>
          <w:lang w:val="en-US"/>
        </w:rPr>
        <w:t xml:space="preserve"> </w:t>
      </w:r>
      <w:proofErr w:type="spellStart"/>
      <w:r w:rsidRPr="007A2D78">
        <w:rPr>
          <w:rFonts w:ascii="Times New Roman" w:hAnsi="Times New Roman"/>
          <w:lang w:val="en-US"/>
        </w:rPr>
        <w:t>împuternicirii</w:t>
      </w:r>
      <w:proofErr w:type="spellEnd"/>
      <w:r w:rsidRPr="007A2D78">
        <w:rPr>
          <w:rFonts w:ascii="Times New Roman" w:hAnsi="Times New Roman"/>
          <w:lang w:val="en-US"/>
        </w:rPr>
        <w:t xml:space="preserve"> </w:t>
      </w:r>
      <w:proofErr w:type="spellStart"/>
      <w:r w:rsidRPr="007A2D78">
        <w:rPr>
          <w:rFonts w:ascii="Times New Roman" w:hAnsi="Times New Roman"/>
          <w:lang w:val="en-US"/>
        </w:rPr>
        <w:t>primite</w:t>
      </w:r>
      <w:proofErr w:type="spellEnd"/>
      <w:r w:rsidRPr="007A2D78">
        <w:rPr>
          <w:rFonts w:ascii="Times New Roman" w:hAnsi="Times New Roman"/>
          <w:lang w:val="en-US"/>
        </w:rPr>
        <w:t xml:space="preserve"> </w:t>
      </w:r>
      <w:proofErr w:type="spellStart"/>
      <w:r w:rsidRPr="007A2D78">
        <w:rPr>
          <w:rFonts w:ascii="Times New Roman" w:hAnsi="Times New Roman"/>
          <w:lang w:val="en-US"/>
        </w:rPr>
        <w:t>prin</w:t>
      </w:r>
      <w:proofErr w:type="spellEnd"/>
      <w:r w:rsidRPr="007A2D78">
        <w:rPr>
          <w:rFonts w:ascii="Times New Roman" w:hAnsi="Times New Roman"/>
          <w:lang w:val="en-US"/>
        </w:rPr>
        <w:t xml:space="preserve"> </w:t>
      </w:r>
      <w:proofErr w:type="spellStart"/>
      <w:r w:rsidRPr="007A2D78">
        <w:rPr>
          <w:rFonts w:ascii="Times New Roman" w:hAnsi="Times New Roman"/>
          <w:lang w:val="en-US"/>
        </w:rPr>
        <w:t>D</w:t>
      </w:r>
      <w:r w:rsidR="00B9021C">
        <w:rPr>
          <w:rFonts w:ascii="Times New Roman" w:hAnsi="Times New Roman"/>
          <w:lang w:val="en-US"/>
        </w:rPr>
        <w:t>ispoziţia</w:t>
      </w:r>
      <w:proofErr w:type="spellEnd"/>
      <w:r w:rsidR="00B9021C">
        <w:rPr>
          <w:rFonts w:ascii="Times New Roman" w:hAnsi="Times New Roman"/>
          <w:lang w:val="en-US"/>
        </w:rPr>
        <w:t xml:space="preserve"> </w:t>
      </w:r>
      <w:proofErr w:type="spellStart"/>
      <w:r w:rsidR="00B9021C">
        <w:rPr>
          <w:rFonts w:ascii="Times New Roman" w:hAnsi="Times New Roman"/>
          <w:lang w:val="en-US"/>
        </w:rPr>
        <w:t>Primarului</w:t>
      </w:r>
      <w:proofErr w:type="spellEnd"/>
      <w:r w:rsidR="00B9021C">
        <w:rPr>
          <w:rFonts w:ascii="Times New Roman" w:hAnsi="Times New Roman"/>
          <w:lang w:val="en-US"/>
        </w:rPr>
        <w:t xml:space="preserve"> </w:t>
      </w:r>
      <w:proofErr w:type="spellStart"/>
      <w:r w:rsidR="00B9021C">
        <w:rPr>
          <w:rFonts w:ascii="Times New Roman" w:hAnsi="Times New Roman"/>
          <w:lang w:val="en-US"/>
        </w:rPr>
        <w:t>Sectorului</w:t>
      </w:r>
      <w:proofErr w:type="spellEnd"/>
      <w:r w:rsidR="00B9021C">
        <w:rPr>
          <w:rFonts w:ascii="Times New Roman" w:hAnsi="Times New Roman"/>
          <w:lang w:val="en-US"/>
        </w:rPr>
        <w:t xml:space="preserve"> </w:t>
      </w:r>
      <w:r w:rsidRPr="007A2D78">
        <w:rPr>
          <w:rFonts w:ascii="Times New Roman" w:hAnsi="Times New Roman"/>
          <w:lang w:val="en-US"/>
        </w:rPr>
        <w:t>2</w:t>
      </w:r>
      <w:r w:rsidRPr="007A2D78">
        <w:rPr>
          <w:rFonts w:ascii="Times New Roman" w:hAnsi="Times New Roman"/>
          <w:vanish/>
        </w:rPr>
        <w:cr/>
        <w:t xml:space="preserve"> inteză,ele, luând in considerareructura pe care o conduce</w:t>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r w:rsidRPr="007A2D78">
        <w:rPr>
          <w:rFonts w:ascii="Times New Roman" w:hAnsi="Times New Roman"/>
          <w:vanish/>
        </w:rPr>
        <w:pgNum/>
      </w:r>
    </w:p>
    <w:p w:rsidR="007A2D78" w:rsidRPr="007A2D78" w:rsidRDefault="007A2D78" w:rsidP="007A2D78">
      <w:pPr>
        <w:numPr>
          <w:ilvl w:val="0"/>
          <w:numId w:val="5"/>
        </w:numPr>
        <w:tabs>
          <w:tab w:val="num" w:pos="426"/>
          <w:tab w:val="left" w:pos="10490"/>
        </w:tabs>
        <w:ind w:left="426" w:right="-11" w:hanging="284"/>
        <w:jc w:val="both"/>
        <w:rPr>
          <w:rFonts w:ascii="Times New Roman" w:hAnsi="Times New Roman"/>
        </w:rPr>
      </w:pPr>
      <w:r w:rsidRPr="007A2D78">
        <w:rPr>
          <w:rFonts w:ascii="Times New Roman" w:hAnsi="Times New Roman"/>
        </w:rPr>
        <w:t xml:space="preserve">Efectuează </w:t>
      </w:r>
      <w:r w:rsidRPr="007A2D78">
        <w:rPr>
          <w:rFonts w:ascii="Times New Roman" w:hAnsi="Times New Roman"/>
          <w:i/>
        </w:rPr>
        <w:t xml:space="preserve">orice altă sarcină profesională </w:t>
      </w:r>
      <w:r w:rsidRPr="007A2D78">
        <w:rPr>
          <w:rFonts w:ascii="Times New Roman" w:hAnsi="Times New Roman"/>
        </w:rPr>
        <w:t>care are legătură cu  atribuțiile direcției, solicitate de conducerea instituției.</w:t>
      </w:r>
    </w:p>
    <w:p w:rsidR="007A2D78" w:rsidRPr="007A2D78" w:rsidRDefault="007A2D78" w:rsidP="007A2D78">
      <w:pPr>
        <w:tabs>
          <w:tab w:val="num" w:pos="426"/>
          <w:tab w:val="left" w:pos="10490"/>
        </w:tabs>
        <w:ind w:left="426" w:right="202" w:hanging="284"/>
        <w:jc w:val="both"/>
        <w:rPr>
          <w:rFonts w:ascii="Times New Roman" w:hAnsi="Times New Roman"/>
        </w:rPr>
      </w:pPr>
    </w:p>
    <w:bookmarkEnd w:id="0"/>
    <w:p w:rsidR="007A2D78" w:rsidRPr="007A2D78" w:rsidRDefault="007A2D78" w:rsidP="007A2D78">
      <w:pPr>
        <w:tabs>
          <w:tab w:val="num" w:pos="426"/>
          <w:tab w:val="left" w:pos="10490"/>
        </w:tabs>
        <w:ind w:left="426" w:right="202" w:hanging="284"/>
        <w:jc w:val="both"/>
        <w:rPr>
          <w:rFonts w:ascii="Times New Roman" w:hAnsi="Times New Roman"/>
        </w:rPr>
      </w:pPr>
    </w:p>
    <w:p w:rsidR="007A2D78" w:rsidRPr="007A2D78" w:rsidRDefault="007A2D78" w:rsidP="007A2D78">
      <w:pPr>
        <w:tabs>
          <w:tab w:val="num" w:pos="426"/>
          <w:tab w:val="left" w:pos="10490"/>
        </w:tabs>
        <w:ind w:left="426" w:right="202" w:hanging="284"/>
        <w:jc w:val="both"/>
        <w:rPr>
          <w:rFonts w:ascii="Times New Roman" w:hAnsi="Times New Roman"/>
        </w:rPr>
      </w:pPr>
    </w:p>
    <w:p w:rsidR="00A84EDC" w:rsidRPr="00E70416" w:rsidRDefault="00A84EDC" w:rsidP="007A2D78">
      <w:pPr>
        <w:ind w:left="360"/>
        <w:jc w:val="both"/>
        <w:rPr>
          <w:rFonts w:ascii="Times New Roman" w:hAnsi="Times New Roman"/>
          <w:b/>
          <w:sz w:val="28"/>
          <w:szCs w:val="28"/>
        </w:rPr>
      </w:pPr>
    </w:p>
    <w:sectPr w:rsidR="00A84EDC" w:rsidRPr="00E70416" w:rsidSect="007A2D78">
      <w:headerReference w:type="default" r:id="rId11"/>
      <w:pgSz w:w="12240" w:h="15840"/>
      <w:pgMar w:top="567" w:right="1134" w:bottom="567" w:left="1134"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249" w:rsidRDefault="00393249" w:rsidP="00721DC5">
      <w:r>
        <w:separator/>
      </w:r>
    </w:p>
  </w:endnote>
  <w:endnote w:type="continuationSeparator" w:id="0">
    <w:p w:rsidR="00393249" w:rsidRDefault="00393249"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249" w:rsidRDefault="00393249" w:rsidP="00721DC5">
      <w:r>
        <w:separator/>
      </w:r>
    </w:p>
  </w:footnote>
  <w:footnote w:type="continuationSeparator" w:id="0">
    <w:p w:rsidR="00393249" w:rsidRDefault="00393249"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A4A5C"/>
    <w:multiLevelType w:val="hybridMultilevel"/>
    <w:tmpl w:val="D584D9BA"/>
    <w:lvl w:ilvl="0" w:tplc="A9C691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DE6D0D"/>
    <w:multiLevelType w:val="hybridMultilevel"/>
    <w:tmpl w:val="BA8AE8F2"/>
    <w:lvl w:ilvl="0" w:tplc="2DBE2514">
      <w:start w:val="1"/>
      <w:numFmt w:val="decimal"/>
      <w:lvlText w:val="%1."/>
      <w:lvlJc w:val="center"/>
      <w:pPr>
        <w:tabs>
          <w:tab w:val="num" w:pos="720"/>
        </w:tabs>
        <w:ind w:left="720" w:hanging="360"/>
      </w:pPr>
      <w:rPr>
        <w:rFonts w:hint="default"/>
        <w:b/>
        <w:color w:val="auto"/>
        <w:sz w:val="25"/>
        <w:szCs w:val="2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77A5311"/>
    <w:multiLevelType w:val="hybridMultilevel"/>
    <w:tmpl w:val="B760689E"/>
    <w:lvl w:ilvl="0" w:tplc="09BCE582">
      <w:start w:val="1"/>
      <w:numFmt w:val="decimal"/>
      <w:lvlText w:val="%1."/>
      <w:lvlJc w:val="left"/>
      <w:pPr>
        <w:tabs>
          <w:tab w:val="num" w:pos="360"/>
        </w:tabs>
        <w:ind w:left="360" w:hanging="360"/>
      </w:pPr>
      <w:rPr>
        <w:b/>
        <w:i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243CA5"/>
    <w:rsid w:val="002C1211"/>
    <w:rsid w:val="002F50DC"/>
    <w:rsid w:val="00393249"/>
    <w:rsid w:val="003A085F"/>
    <w:rsid w:val="003B6D64"/>
    <w:rsid w:val="00457B44"/>
    <w:rsid w:val="0046339A"/>
    <w:rsid w:val="004A7EB0"/>
    <w:rsid w:val="00506380"/>
    <w:rsid w:val="00531EB6"/>
    <w:rsid w:val="005A3786"/>
    <w:rsid w:val="005F39D3"/>
    <w:rsid w:val="00606906"/>
    <w:rsid w:val="006100CA"/>
    <w:rsid w:val="00631C27"/>
    <w:rsid w:val="0068283D"/>
    <w:rsid w:val="006E4724"/>
    <w:rsid w:val="00721DC5"/>
    <w:rsid w:val="00734BAB"/>
    <w:rsid w:val="00743D3E"/>
    <w:rsid w:val="007A2D78"/>
    <w:rsid w:val="007D21E8"/>
    <w:rsid w:val="007E3C02"/>
    <w:rsid w:val="00846EAB"/>
    <w:rsid w:val="00896F3D"/>
    <w:rsid w:val="009124EA"/>
    <w:rsid w:val="00A20580"/>
    <w:rsid w:val="00A243F3"/>
    <w:rsid w:val="00A84EDC"/>
    <w:rsid w:val="00B004DA"/>
    <w:rsid w:val="00B76BC9"/>
    <w:rsid w:val="00B9021C"/>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3.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1453</Words>
  <Characters>8284</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Ionita</dc:creator>
  <cp:lastPrinted>2021-09-20T05:22:00Z</cp:lastPrinted>
  <dcterms:created xsi:type="dcterms:W3CDTF">2021-09-28T13:04:00Z</dcterms:created>
  <dcterms:modified xsi:type="dcterms:W3CDTF">2022-06-30T05:11:00Z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