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D6" w:rsidRDefault="007F06D6" w:rsidP="007F06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val="it-IT"/>
        </w:rPr>
      </w:pPr>
      <w:bookmarkStart w:id="0" w:name="_GoBack"/>
      <w:bookmarkEnd w:id="0"/>
      <w:r>
        <w:rPr>
          <w:noProof/>
          <w:lang w:val="ro-RO" w:eastAsia="ro-RO"/>
        </w:rPr>
        <w:drawing>
          <wp:inline distT="0" distB="0" distL="0" distR="0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6D6" w:rsidRPr="007F06D6" w:rsidRDefault="007F06D6" w:rsidP="007F06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</w:rPr>
      </w:pPr>
      <w:proofErr w:type="spellStart"/>
      <w:r w:rsidRPr="007F06D6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</w:rPr>
        <w:t>Bibliografie</w:t>
      </w:r>
      <w:proofErr w:type="spellEnd"/>
    </w:p>
    <w:p w:rsidR="007F06D6" w:rsidRPr="007F06D6" w:rsidRDefault="007F06D6" w:rsidP="007F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</w:pPr>
      <w:proofErr w:type="spellStart"/>
      <w:proofErr w:type="gram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pentru</w:t>
      </w:r>
      <w:proofErr w:type="spellEnd"/>
      <w:proofErr w:type="gram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concursul</w:t>
      </w:r>
      <w:proofErr w:type="spell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 </w:t>
      </w:r>
      <w:proofErr w:type="spell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organi</w:t>
      </w:r>
      <w:r w:rsidR="006C650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za</w:t>
      </w:r>
      <w:r w:rsidR="007A3AA9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t</w:t>
      </w:r>
      <w:proofErr w:type="spellEnd"/>
      <w:r w:rsidR="007A3AA9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7A3AA9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în</w:t>
      </w:r>
      <w:proofErr w:type="spellEnd"/>
      <w:r w:rsidR="007A3AA9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7A3AA9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vederea</w:t>
      </w:r>
      <w:proofErr w:type="spellEnd"/>
      <w:r w:rsidR="007A3AA9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7A3AA9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ocupării</w:t>
      </w:r>
      <w:proofErr w:type="spellEnd"/>
      <w:r w:rsidR="007A3AA9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7A3AA9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funcţiei</w:t>
      </w:r>
      <w:proofErr w:type="spell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publice</w:t>
      </w:r>
      <w:proofErr w:type="spell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vacante </w:t>
      </w:r>
    </w:p>
    <w:p w:rsidR="007F06D6" w:rsidRPr="007F06D6" w:rsidRDefault="007F06D6" w:rsidP="007F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</w:pPr>
      <w:proofErr w:type="gramStart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>de</w:t>
      </w:r>
      <w:proofErr w:type="gramEnd"/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fr-FR" w:eastAsia="ro-RO"/>
        </w:rPr>
        <w:t xml:space="preserve"> la </w:t>
      </w:r>
      <w:r w:rsidR="00D60B6D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ro-RO" w:eastAsia="ro-RO"/>
        </w:rPr>
        <w:t>Serviciu</w:t>
      </w:r>
      <w:r w:rsidR="00681D5A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ro-RO" w:eastAsia="ro-RO"/>
        </w:rPr>
        <w:t>l</w:t>
      </w:r>
      <w:r w:rsidRPr="007F06D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ro-RO" w:eastAsia="ro-RO"/>
        </w:rPr>
        <w:t xml:space="preserve"> </w:t>
      </w:r>
      <w:r w:rsidR="006C650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ro-RO" w:eastAsia="ro-RO"/>
        </w:rPr>
        <w:t xml:space="preserve">Digitalizare și </w:t>
      </w:r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ro-RO" w:eastAsia="ro-RO"/>
        </w:rPr>
        <w:t xml:space="preserve">Administrare </w:t>
      </w:r>
      <w:r w:rsidR="006C6506"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ro-RO" w:eastAsia="ro-RO"/>
        </w:rPr>
        <w:t>Infrastructură</w:t>
      </w:r>
      <w:r>
        <w:rPr>
          <w:rFonts w:ascii="Times New Roman" w:eastAsia="Times New Roman" w:hAnsi="Times New Roman" w:cs="Times New Roman"/>
          <w:b/>
          <w:i/>
          <w:color w:val="000000"/>
          <w:kern w:val="28"/>
          <w:sz w:val="26"/>
          <w:szCs w:val="26"/>
          <w:lang w:val="ro-RO" w:eastAsia="ro-RO"/>
        </w:rPr>
        <w:t xml:space="preserve"> IT</w:t>
      </w:r>
    </w:p>
    <w:p w:rsidR="007F06D6" w:rsidRDefault="007F06D6" w:rsidP="00D60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val="it-IT"/>
        </w:rPr>
      </w:pPr>
    </w:p>
    <w:p w:rsidR="00D60B6D" w:rsidRDefault="00D60B6D" w:rsidP="00D60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val="it-IT"/>
        </w:rPr>
      </w:pPr>
    </w:p>
    <w:p w:rsidR="00D60B6D" w:rsidRDefault="00D60B6D" w:rsidP="00D60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val="it-IT"/>
        </w:rPr>
      </w:pPr>
    </w:p>
    <w:p w:rsidR="00D60B6D" w:rsidRDefault="00D60B6D" w:rsidP="00D60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8"/>
          <w:sz w:val="24"/>
          <w:szCs w:val="24"/>
          <w:lang w:val="it-IT"/>
        </w:rPr>
      </w:pPr>
    </w:p>
    <w:p w:rsidR="007F06D6" w:rsidRPr="004D720E" w:rsidRDefault="007F06D6" w:rsidP="00D60B6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it-IT"/>
        </w:rPr>
      </w:pPr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it-IT"/>
        </w:rPr>
        <w:t>Constitu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ția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României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republicată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;</w:t>
      </w:r>
    </w:p>
    <w:p w:rsidR="007F06D6" w:rsidRDefault="007F06D6" w:rsidP="00D60B6D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720E">
        <w:rPr>
          <w:rFonts w:ascii="Times New Roman" w:eastAsia="Times New Roman" w:hAnsi="Times New Roman" w:cs="Times New Roman"/>
          <w:sz w:val="24"/>
          <w:szCs w:val="24"/>
          <w:lang w:val="ro-RO"/>
        </w:rPr>
        <w:t>O.U.G. nr. 57/2019 privind Codul administrativ, cu modificările şi completările ulterioare:</w:t>
      </w:r>
    </w:p>
    <w:p w:rsidR="00160DA9" w:rsidRPr="004839A6" w:rsidRDefault="00160DA9" w:rsidP="00D60B6D">
      <w:pPr>
        <w:pStyle w:val="Listparagraf"/>
        <w:autoSpaceDE w:val="0"/>
        <w:autoSpaceDN w:val="0"/>
        <w:spacing w:line="360" w:lineRule="auto"/>
        <w:ind w:left="218"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39A6">
        <w:rPr>
          <w:rFonts w:ascii="Times New Roman" w:hAnsi="Times New Roman" w:cs="Times New Roman"/>
          <w:color w:val="000000"/>
          <w:sz w:val="24"/>
          <w:szCs w:val="24"/>
        </w:rPr>
        <w:t xml:space="preserve">PARTEA a-VI-a - TITLUL I - </w:t>
      </w:r>
      <w:proofErr w:type="spellStart"/>
      <w:r w:rsidRPr="004839A6">
        <w:rPr>
          <w:rFonts w:ascii="Times New Roman" w:hAnsi="Times New Roman" w:cs="Times New Roman"/>
          <w:color w:val="000000"/>
          <w:sz w:val="24"/>
          <w:szCs w:val="24"/>
        </w:rPr>
        <w:t>Dispoziţii</w:t>
      </w:r>
      <w:proofErr w:type="spellEnd"/>
      <w:r w:rsidRPr="00483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39A6"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</w:p>
    <w:p w:rsidR="00160DA9" w:rsidRPr="00160DA9" w:rsidRDefault="00160DA9" w:rsidP="00D60B6D">
      <w:pPr>
        <w:pStyle w:val="Listparagraf"/>
        <w:autoSpaceDE w:val="0"/>
        <w:autoSpaceDN w:val="0"/>
        <w:spacing w:after="0" w:line="360" w:lineRule="auto"/>
        <w:ind w:left="218"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4839A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Pr="004839A6">
        <w:rPr>
          <w:rFonts w:ascii="Times New Roman" w:hAnsi="Times New Roman" w:cs="Times New Roman"/>
          <w:color w:val="000000"/>
          <w:sz w:val="24"/>
          <w:szCs w:val="24"/>
        </w:rPr>
        <w:t xml:space="preserve">- TITLUL II – </w:t>
      </w:r>
      <w:proofErr w:type="spellStart"/>
      <w:r w:rsidRPr="004839A6">
        <w:rPr>
          <w:rFonts w:ascii="Times New Roman" w:hAnsi="Times New Roman" w:cs="Times New Roman"/>
          <w:color w:val="000000"/>
          <w:sz w:val="24"/>
          <w:szCs w:val="24"/>
        </w:rPr>
        <w:t>Statutul</w:t>
      </w:r>
      <w:proofErr w:type="spellEnd"/>
      <w:r w:rsidRPr="00483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39A6">
        <w:rPr>
          <w:rFonts w:ascii="Times New Roman" w:hAnsi="Times New Roman" w:cs="Times New Roman"/>
          <w:color w:val="000000"/>
          <w:sz w:val="24"/>
          <w:szCs w:val="24"/>
        </w:rPr>
        <w:t>funcţionarilor</w:t>
      </w:r>
      <w:proofErr w:type="spellEnd"/>
      <w:r w:rsidRPr="00483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39A6">
        <w:rPr>
          <w:rFonts w:ascii="Times New Roman" w:hAnsi="Times New Roman" w:cs="Times New Roman"/>
          <w:color w:val="000000"/>
          <w:sz w:val="24"/>
          <w:szCs w:val="24"/>
        </w:rPr>
        <w:t>publici</w:t>
      </w:r>
      <w:proofErr w:type="spellEnd"/>
    </w:p>
    <w:p w:rsidR="007F06D6" w:rsidRPr="004D720E" w:rsidRDefault="007F06D6" w:rsidP="00D60B6D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-227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it-IT"/>
        </w:rPr>
        <w:t xml:space="preserve">Ordonanţa Guvernului nr. 137/2000 privind prevenirea şi sancţionarea tuturor formelor de discriminare, republicată, cu modificările şi completările ulterioare.   </w:t>
      </w:r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</w:t>
      </w:r>
    </w:p>
    <w:p w:rsidR="0057182B" w:rsidRPr="004D720E" w:rsidRDefault="007F06D6" w:rsidP="00D60B6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Legea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nr. 202/2002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privind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egalitatea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de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şanse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şi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tratament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între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femei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şi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bărbaţi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republicată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cu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modificările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şi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completările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proofErr w:type="spellStart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ulterioare</w:t>
      </w:r>
      <w:proofErr w:type="spellEnd"/>
      <w:r w:rsidRPr="004D720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.</w:t>
      </w:r>
    </w:p>
    <w:p w:rsidR="00AF4721" w:rsidRPr="004D720E" w:rsidRDefault="00A44F10" w:rsidP="00D60B6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0E">
        <w:rPr>
          <w:rFonts w:ascii="Times New Roman" w:hAnsi="Times New Roman" w:cs="Times New Roman"/>
          <w:sz w:val="24"/>
          <w:szCs w:val="24"/>
        </w:rPr>
        <w:t xml:space="preserve">DECIZIA DE PUNERE ÎN APLICARE (UE) 2015/1506 a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din 8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2015 de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specificațiilor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formatele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semnăturilor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sigiliilor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avansate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organismele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articolului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articolului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(5) din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(UE) nr. 910/2014.</w:t>
      </w:r>
    </w:p>
    <w:p w:rsidR="00814C99" w:rsidRPr="00360FAA" w:rsidRDefault="00E030DF" w:rsidP="00D60B6D">
      <w:pPr>
        <w:pStyle w:val="Listparagraf"/>
        <w:numPr>
          <w:ilvl w:val="0"/>
          <w:numId w:val="6"/>
        </w:numPr>
        <w:spacing w:after="0"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D72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Regulamentul</w:t>
      </w:r>
      <w:proofErr w:type="spellEnd"/>
      <w:r w:rsidRPr="004D72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de </w:t>
      </w:r>
      <w:proofErr w:type="spellStart"/>
      <w:r w:rsidRPr="004D72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Organizare</w:t>
      </w:r>
      <w:proofErr w:type="spellEnd"/>
      <w:r w:rsidRPr="004D72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D72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și Funcționare al </w:t>
      </w:r>
      <w:r w:rsidR="00D5021F" w:rsidRPr="004D72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aparatului de specialitate al Primarului Sectorului 2</w:t>
      </w:r>
      <w:r w:rsidR="008E6ECB" w:rsidRPr="004D72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– Direcția Digitalizare - </w:t>
      </w:r>
      <w:r w:rsidR="00D5021F" w:rsidRPr="004D720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</w:t>
      </w:r>
      <w:hyperlink r:id="rId8" w:history="1">
        <w:r w:rsidR="00D5021F" w:rsidRPr="004D720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https://www.ps2.ro/index.php/primaria-sectorului-2/rof/regulamentul-de-organizare-si-functionare-al-aparatului-de-specialitate-al-primarului-sectorului-2-aprobat-la-31-03-2022/download</w:t>
        </w:r>
      </w:hyperlink>
    </w:p>
    <w:p w:rsidR="00360FAA" w:rsidRPr="004D720E" w:rsidRDefault="00360FAA" w:rsidP="00D60B6D">
      <w:pPr>
        <w:pStyle w:val="List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720E">
        <w:rPr>
          <w:rFonts w:ascii="Times New Roman" w:hAnsi="Times New Roman" w:cs="Times New Roman"/>
          <w:sz w:val="24"/>
          <w:szCs w:val="24"/>
        </w:rPr>
        <w:t xml:space="preserve">Microsoft Official Academic Course – Windows Operating System Fundamentals: </w:t>
      </w:r>
      <w:hyperlink r:id="rId9" w:history="1">
        <w:r w:rsidRPr="004D720E">
          <w:rPr>
            <w:rStyle w:val="Hyperlink"/>
            <w:rFonts w:ascii="Times New Roman" w:hAnsi="Times New Roman" w:cs="Times New Roman"/>
            <w:sz w:val="24"/>
            <w:szCs w:val="24"/>
          </w:rPr>
          <w:t>https://www.sos.wa.gov/_assets/library/libraries/projects/ita/moac_mta_98-349_2e-windows-os.pdf</w:t>
        </w:r>
      </w:hyperlink>
      <w:r w:rsidRPr="004D7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FAA" w:rsidRPr="004D720E" w:rsidRDefault="00360FAA" w:rsidP="00D60B6D">
      <w:pPr>
        <w:pStyle w:val="List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720E">
        <w:rPr>
          <w:rFonts w:ascii="Times New Roman" w:hAnsi="Times New Roman" w:cs="Times New Roman"/>
          <w:sz w:val="24"/>
          <w:szCs w:val="24"/>
        </w:rPr>
        <w:t xml:space="preserve">Microsoft Official Academic Course – Windows Server Administration Fundamentals: </w:t>
      </w:r>
      <w:hyperlink r:id="rId10" w:history="1">
        <w:r w:rsidRPr="004D720E">
          <w:rPr>
            <w:rStyle w:val="Hyperlink"/>
            <w:rFonts w:ascii="Times New Roman" w:hAnsi="Times New Roman" w:cs="Times New Roman"/>
            <w:sz w:val="24"/>
            <w:szCs w:val="24"/>
          </w:rPr>
          <w:t>https://www.sos.wa.gov/_assets/library/libraries/projects/ita/moac_mta_98_365_windows_server_administration_fundamentals.pdf</w:t>
        </w:r>
      </w:hyperlink>
    </w:p>
    <w:p w:rsidR="00360FAA" w:rsidRPr="004D720E" w:rsidRDefault="00360FAA" w:rsidP="00D60B6D">
      <w:pPr>
        <w:pStyle w:val="List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720E">
        <w:rPr>
          <w:rFonts w:ascii="Times New Roman" w:hAnsi="Times New Roman" w:cs="Times New Roman"/>
          <w:sz w:val="24"/>
          <w:szCs w:val="24"/>
        </w:rPr>
        <w:lastRenderedPageBreak/>
        <w:t xml:space="preserve">Microsoft Official Academic Course –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SecurityFundamentals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4D720E">
          <w:rPr>
            <w:rStyle w:val="Hyperlink"/>
            <w:rFonts w:ascii="Times New Roman" w:hAnsi="Times New Roman" w:cs="Times New Roman"/>
            <w:sz w:val="24"/>
            <w:szCs w:val="24"/>
          </w:rPr>
          <w:t>https://www.sos.wa.gov/_assets/library/libraries/projects/ita/mta%2098-367%20security-fundamentals%20moac.pdf</w:t>
        </w:r>
      </w:hyperlink>
    </w:p>
    <w:p w:rsidR="00360FAA" w:rsidRPr="00681D5A" w:rsidRDefault="00360FAA" w:rsidP="00D60B6D">
      <w:pPr>
        <w:pStyle w:val="List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720E">
        <w:rPr>
          <w:rFonts w:ascii="Times New Roman" w:hAnsi="Times New Roman" w:cs="Times New Roman"/>
          <w:sz w:val="24"/>
          <w:szCs w:val="24"/>
        </w:rPr>
        <w:t xml:space="preserve">Microsoft </w:t>
      </w:r>
      <w:proofErr w:type="spellStart"/>
      <w:r w:rsidRPr="004D720E">
        <w:rPr>
          <w:rFonts w:ascii="Times New Roman" w:hAnsi="Times New Roman" w:cs="Times New Roman"/>
          <w:sz w:val="24"/>
          <w:szCs w:val="24"/>
        </w:rPr>
        <w:t>Tehnology</w:t>
      </w:r>
      <w:proofErr w:type="spellEnd"/>
      <w:r w:rsidRPr="004D720E">
        <w:rPr>
          <w:rFonts w:ascii="Times New Roman" w:hAnsi="Times New Roman" w:cs="Times New Roman"/>
          <w:sz w:val="24"/>
          <w:szCs w:val="24"/>
        </w:rPr>
        <w:t xml:space="preserve"> Associate – Student Study Guide - Windows Server Administration Fundamentals: </w:t>
      </w:r>
      <w:hyperlink r:id="rId12" w:history="1">
        <w:r w:rsidRPr="004D720E">
          <w:rPr>
            <w:rStyle w:val="Hyperlink"/>
            <w:rFonts w:ascii="Times New Roman" w:hAnsi="Times New Roman" w:cs="Times New Roman"/>
            <w:sz w:val="24"/>
            <w:szCs w:val="24"/>
          </w:rPr>
          <w:t>https://www.sos.wa.gov/_assets/library/libraries/projects/ita/98-365-study-guide.pdf</w:t>
        </w:r>
      </w:hyperlink>
    </w:p>
    <w:p w:rsidR="00681D5A" w:rsidRPr="00681D5A" w:rsidRDefault="00681D5A" w:rsidP="00772CDC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D5A">
        <w:rPr>
          <w:rFonts w:ascii="Times New Roman" w:hAnsi="Times New Roman" w:cs="Times New Roman"/>
        </w:rPr>
        <w:t>Proba</w:t>
      </w:r>
      <w:proofErr w:type="spellEnd"/>
      <w:r w:rsidRPr="00681D5A">
        <w:rPr>
          <w:rFonts w:ascii="Times New Roman" w:hAnsi="Times New Roman" w:cs="Times New Roman"/>
        </w:rPr>
        <w:t xml:space="preserve"> </w:t>
      </w:r>
      <w:proofErr w:type="spellStart"/>
      <w:r w:rsidRPr="00681D5A">
        <w:rPr>
          <w:rFonts w:ascii="Times New Roman" w:hAnsi="Times New Roman" w:cs="Times New Roman"/>
        </w:rPr>
        <w:t>suplimentară</w:t>
      </w:r>
      <w:proofErr w:type="spellEnd"/>
      <w:r w:rsidRPr="00681D5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81D5A">
        <w:rPr>
          <w:rFonts w:ascii="Times New Roman" w:hAnsi="Times New Roman" w:cs="Times New Roman"/>
        </w:rPr>
        <w:t>eliminatorie</w:t>
      </w:r>
      <w:proofErr w:type="spellEnd"/>
      <w:r w:rsidRPr="00681D5A">
        <w:rPr>
          <w:rFonts w:ascii="Times New Roman" w:hAnsi="Times New Roman" w:cs="Times New Roman"/>
        </w:rPr>
        <w:t xml:space="preserve">  </w:t>
      </w:r>
      <w:proofErr w:type="spellStart"/>
      <w:r w:rsidRPr="00681D5A">
        <w:rPr>
          <w:rFonts w:ascii="Times New Roman" w:hAnsi="Times New Roman" w:cs="Times New Roman"/>
        </w:rPr>
        <w:t>pentru</w:t>
      </w:r>
      <w:proofErr w:type="spellEnd"/>
      <w:proofErr w:type="gramEnd"/>
      <w:r w:rsidRPr="00681D5A">
        <w:rPr>
          <w:rFonts w:ascii="Times New Roman" w:hAnsi="Times New Roman" w:cs="Times New Roman"/>
        </w:rPr>
        <w:t xml:space="preserve"> </w:t>
      </w:r>
      <w:proofErr w:type="spellStart"/>
      <w:r w:rsidRPr="00681D5A">
        <w:rPr>
          <w:rFonts w:ascii="Times New Roman" w:hAnsi="Times New Roman" w:cs="Times New Roman"/>
        </w:rPr>
        <w:t>testarea</w:t>
      </w:r>
      <w:proofErr w:type="spellEnd"/>
      <w:r w:rsidRPr="00681D5A">
        <w:rPr>
          <w:rFonts w:ascii="Times New Roman" w:hAnsi="Times New Roman" w:cs="Times New Roman"/>
        </w:rPr>
        <w:t xml:space="preserve"> </w:t>
      </w:r>
      <w:proofErr w:type="spellStart"/>
      <w:r w:rsidRPr="00681D5A">
        <w:rPr>
          <w:rFonts w:ascii="Times New Roman" w:hAnsi="Times New Roman" w:cs="Times New Roman"/>
        </w:rPr>
        <w:t>cunoştinţelor</w:t>
      </w:r>
      <w:proofErr w:type="spellEnd"/>
      <w:r w:rsidRPr="00681D5A">
        <w:rPr>
          <w:rFonts w:ascii="Times New Roman" w:hAnsi="Times New Roman" w:cs="Times New Roman"/>
        </w:rPr>
        <w:t xml:space="preserve"> de </w:t>
      </w:r>
      <w:proofErr w:type="spellStart"/>
      <w:r w:rsidRPr="00681D5A">
        <w:rPr>
          <w:rFonts w:ascii="Times New Roman" w:hAnsi="Times New Roman" w:cs="Times New Roman"/>
        </w:rPr>
        <w:t>utilizare</w:t>
      </w:r>
      <w:proofErr w:type="spellEnd"/>
      <w:r w:rsidRPr="00681D5A">
        <w:rPr>
          <w:rFonts w:ascii="Times New Roman" w:hAnsi="Times New Roman" w:cs="Times New Roman"/>
        </w:rPr>
        <w:t xml:space="preserve"> PC </w:t>
      </w:r>
      <w:proofErr w:type="spellStart"/>
      <w:r w:rsidRPr="00681D5A">
        <w:rPr>
          <w:rFonts w:ascii="Times New Roman" w:hAnsi="Times New Roman" w:cs="Times New Roman"/>
        </w:rPr>
        <w:t>va</w:t>
      </w:r>
      <w:proofErr w:type="spellEnd"/>
      <w:r w:rsidRPr="00681D5A">
        <w:rPr>
          <w:rFonts w:ascii="Times New Roman" w:hAnsi="Times New Roman" w:cs="Times New Roman"/>
        </w:rPr>
        <w:t xml:space="preserve"> fi </w:t>
      </w:r>
      <w:proofErr w:type="spellStart"/>
      <w:r w:rsidRPr="00681D5A">
        <w:rPr>
          <w:rFonts w:ascii="Times New Roman" w:hAnsi="Times New Roman" w:cs="Times New Roman"/>
        </w:rPr>
        <w:t>susţinută</w:t>
      </w:r>
      <w:proofErr w:type="spellEnd"/>
      <w:r w:rsidRPr="00681D5A">
        <w:rPr>
          <w:rFonts w:ascii="Times New Roman" w:hAnsi="Times New Roman" w:cs="Times New Roman"/>
        </w:rPr>
        <w:t xml:space="preserve"> </w:t>
      </w:r>
      <w:proofErr w:type="spellStart"/>
      <w:r w:rsidRPr="00681D5A">
        <w:rPr>
          <w:rFonts w:ascii="Times New Roman" w:hAnsi="Times New Roman" w:cs="Times New Roman"/>
        </w:rPr>
        <w:t>în</w:t>
      </w:r>
      <w:proofErr w:type="spellEnd"/>
      <w:r w:rsidRPr="00681D5A">
        <w:rPr>
          <w:rFonts w:ascii="Times New Roman" w:hAnsi="Times New Roman" w:cs="Times New Roman"/>
        </w:rPr>
        <w:t xml:space="preserve"> </w:t>
      </w:r>
      <w:proofErr w:type="spellStart"/>
      <w:r w:rsidRPr="00681D5A">
        <w:rPr>
          <w:rFonts w:ascii="Times New Roman" w:hAnsi="Times New Roman" w:cs="Times New Roman"/>
        </w:rPr>
        <w:t>conformitate</w:t>
      </w:r>
      <w:proofErr w:type="spellEnd"/>
      <w:r w:rsidRPr="00681D5A">
        <w:rPr>
          <w:rFonts w:ascii="Times New Roman" w:hAnsi="Times New Roman" w:cs="Times New Roman"/>
        </w:rPr>
        <w:t xml:space="preserve"> cu “</w:t>
      </w:r>
      <w:r w:rsidRPr="00681D5A">
        <w:rPr>
          <w:rFonts w:ascii="Times New Roman" w:hAnsi="Times New Roman" w:cs="Times New Roman"/>
          <w:lang w:val="ro-RO"/>
        </w:rPr>
        <w:t>Tematica pentru testarea abilităţilor şi competenţelor în domeniul tehnologiei informaţiilor</w:t>
      </w:r>
      <w:r w:rsidRPr="00681D5A">
        <w:rPr>
          <w:rFonts w:ascii="Times New Roman" w:hAnsi="Times New Roman" w:cs="Times New Roman"/>
        </w:rPr>
        <w:t xml:space="preserve">” </w:t>
      </w:r>
      <w:proofErr w:type="spellStart"/>
      <w:r w:rsidRPr="00681D5A">
        <w:rPr>
          <w:rFonts w:ascii="Times New Roman" w:hAnsi="Times New Roman" w:cs="Times New Roman"/>
        </w:rPr>
        <w:t>afişată</w:t>
      </w:r>
      <w:proofErr w:type="spellEnd"/>
      <w:r w:rsidRPr="00681D5A">
        <w:rPr>
          <w:rFonts w:ascii="Times New Roman" w:hAnsi="Times New Roman" w:cs="Times New Roman"/>
        </w:rPr>
        <w:t xml:space="preserve"> </w:t>
      </w:r>
      <w:proofErr w:type="spellStart"/>
      <w:r w:rsidRPr="00681D5A">
        <w:rPr>
          <w:rFonts w:ascii="Times New Roman" w:hAnsi="Times New Roman" w:cs="Times New Roman"/>
        </w:rPr>
        <w:t>pe</w:t>
      </w:r>
      <w:proofErr w:type="spellEnd"/>
      <w:r w:rsidRPr="00681D5A">
        <w:rPr>
          <w:rFonts w:ascii="Times New Roman" w:hAnsi="Times New Roman" w:cs="Times New Roman"/>
        </w:rPr>
        <w:t xml:space="preserve"> site-</w:t>
      </w:r>
      <w:proofErr w:type="spellStart"/>
      <w:r w:rsidRPr="00681D5A">
        <w:rPr>
          <w:rFonts w:ascii="Times New Roman" w:hAnsi="Times New Roman" w:cs="Times New Roman"/>
        </w:rPr>
        <w:t>ul</w:t>
      </w:r>
      <w:proofErr w:type="spellEnd"/>
      <w:r w:rsidRPr="00681D5A">
        <w:rPr>
          <w:rFonts w:ascii="Times New Roman" w:hAnsi="Times New Roman" w:cs="Times New Roman"/>
        </w:rPr>
        <w:t xml:space="preserve"> </w:t>
      </w:r>
      <w:proofErr w:type="spellStart"/>
      <w:r w:rsidRPr="00681D5A">
        <w:rPr>
          <w:rFonts w:ascii="Times New Roman" w:hAnsi="Times New Roman" w:cs="Times New Roman"/>
        </w:rPr>
        <w:t>instituţiei</w:t>
      </w:r>
      <w:proofErr w:type="spellEnd"/>
      <w:r w:rsidRPr="00681D5A">
        <w:rPr>
          <w:rFonts w:ascii="Times New Roman" w:hAnsi="Times New Roman" w:cs="Times New Roman"/>
        </w:rPr>
        <w:t xml:space="preserve"> </w:t>
      </w:r>
      <w:proofErr w:type="spellStart"/>
      <w:r w:rsidRPr="00681D5A">
        <w:rPr>
          <w:rFonts w:ascii="Times New Roman" w:hAnsi="Times New Roman" w:cs="Times New Roman"/>
        </w:rPr>
        <w:t>noastre</w:t>
      </w:r>
      <w:proofErr w:type="spellEnd"/>
      <w:r w:rsidRPr="00681D5A">
        <w:rPr>
          <w:rFonts w:ascii="Times New Roman" w:hAnsi="Times New Roman" w:cs="Times New Roman"/>
        </w:rPr>
        <w:t xml:space="preserve"> la </w:t>
      </w:r>
      <w:proofErr w:type="spellStart"/>
      <w:r w:rsidRPr="00681D5A">
        <w:rPr>
          <w:rFonts w:ascii="Times New Roman" w:hAnsi="Times New Roman" w:cs="Times New Roman"/>
        </w:rPr>
        <w:t>Secţiunea</w:t>
      </w:r>
      <w:proofErr w:type="spellEnd"/>
      <w:r w:rsidRPr="00681D5A">
        <w:rPr>
          <w:rFonts w:ascii="Times New Roman" w:hAnsi="Times New Roman" w:cs="Times New Roman"/>
        </w:rPr>
        <w:t xml:space="preserve"> </w:t>
      </w:r>
      <w:proofErr w:type="spellStart"/>
      <w:r w:rsidRPr="00681D5A">
        <w:rPr>
          <w:rFonts w:ascii="Times New Roman" w:hAnsi="Times New Roman" w:cs="Times New Roman"/>
        </w:rPr>
        <w:t>Carieră</w:t>
      </w:r>
      <w:proofErr w:type="spellEnd"/>
      <w:r w:rsidRPr="00681D5A">
        <w:rPr>
          <w:rFonts w:ascii="Times New Roman" w:hAnsi="Times New Roman" w:cs="Times New Roman"/>
        </w:rPr>
        <w:t xml:space="preserve">: </w:t>
      </w:r>
      <w:r w:rsidRPr="00681D5A">
        <w:rPr>
          <w:rFonts w:ascii="Times New Roman" w:hAnsi="Times New Roman" w:cs="Times New Roman"/>
          <w:lang w:val="ro-RO"/>
        </w:rPr>
        <w:t>Proceduri de testare abilităţi şi competenţe.</w:t>
      </w:r>
    </w:p>
    <w:p w:rsidR="00360FAA" w:rsidRPr="00360FAA" w:rsidRDefault="00360FAA" w:rsidP="00D60B6D">
      <w:pPr>
        <w:spacing w:after="0" w:line="360" w:lineRule="auto"/>
        <w:ind w:left="-142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77DDD" w:rsidRDefault="00777DDD" w:rsidP="00D60B6D">
      <w:pPr>
        <w:spacing w:after="0" w:line="360" w:lineRule="auto"/>
        <w:ind w:left="-142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:rsidR="008F091F" w:rsidRDefault="008F091F" w:rsidP="00D60B6D">
      <w:pPr>
        <w:spacing w:after="0" w:line="360" w:lineRule="auto"/>
        <w:ind w:left="-142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:rsidR="008F091F" w:rsidRDefault="008F091F" w:rsidP="00D60B6D">
      <w:pPr>
        <w:spacing w:after="0" w:line="360" w:lineRule="auto"/>
        <w:ind w:left="-142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:rsidR="008F091F" w:rsidRPr="008F091F" w:rsidRDefault="008F091F" w:rsidP="007F06D6">
      <w:pPr>
        <w:spacing w:after="0"/>
        <w:ind w:left="-142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sectPr w:rsidR="008F091F" w:rsidRPr="008F091F" w:rsidSect="007F0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26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16" w:rsidRDefault="00987E16" w:rsidP="007F06D6">
      <w:pPr>
        <w:spacing w:after="0" w:line="240" w:lineRule="auto"/>
      </w:pPr>
      <w:r>
        <w:separator/>
      </w:r>
    </w:p>
  </w:endnote>
  <w:endnote w:type="continuationSeparator" w:id="0">
    <w:p w:rsidR="00987E16" w:rsidRDefault="00987E16" w:rsidP="007F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E7" w:rsidRDefault="00901BE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E7" w:rsidRDefault="00901BE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E7" w:rsidRDefault="00901BE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16" w:rsidRDefault="00987E16" w:rsidP="007F06D6">
      <w:pPr>
        <w:spacing w:after="0" w:line="240" w:lineRule="auto"/>
      </w:pPr>
      <w:r>
        <w:separator/>
      </w:r>
    </w:p>
  </w:footnote>
  <w:footnote w:type="continuationSeparator" w:id="0">
    <w:p w:rsidR="00987E16" w:rsidRDefault="00987E16" w:rsidP="007F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E7" w:rsidRDefault="00901BE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E7" w:rsidRDefault="00901BE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E7" w:rsidRDefault="00901BE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573B"/>
    <w:multiLevelType w:val="hybridMultilevel"/>
    <w:tmpl w:val="53DA34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51D5"/>
    <w:multiLevelType w:val="hybridMultilevel"/>
    <w:tmpl w:val="4CA020F2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27542A1"/>
    <w:multiLevelType w:val="hybridMultilevel"/>
    <w:tmpl w:val="B6E889A0"/>
    <w:lvl w:ilvl="0" w:tplc="3E942FBA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6D35267"/>
    <w:multiLevelType w:val="hybridMultilevel"/>
    <w:tmpl w:val="B8BC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3187"/>
    <w:multiLevelType w:val="hybridMultilevel"/>
    <w:tmpl w:val="3E4C7B78"/>
    <w:lvl w:ilvl="0" w:tplc="A73660A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600B3"/>
    <w:multiLevelType w:val="hybridMultilevel"/>
    <w:tmpl w:val="300A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06F59"/>
    <w:multiLevelType w:val="hybridMultilevel"/>
    <w:tmpl w:val="0644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EB3"/>
    <w:rsid w:val="00004072"/>
    <w:rsid w:val="000F540B"/>
    <w:rsid w:val="00160DA9"/>
    <w:rsid w:val="0035246C"/>
    <w:rsid w:val="00360FAA"/>
    <w:rsid w:val="0042601A"/>
    <w:rsid w:val="004D3D0C"/>
    <w:rsid w:val="004D720E"/>
    <w:rsid w:val="004F5B96"/>
    <w:rsid w:val="0057182B"/>
    <w:rsid w:val="00575ACA"/>
    <w:rsid w:val="005F1C30"/>
    <w:rsid w:val="00681D5A"/>
    <w:rsid w:val="006C6506"/>
    <w:rsid w:val="006E5581"/>
    <w:rsid w:val="00721A9E"/>
    <w:rsid w:val="00772CDC"/>
    <w:rsid w:val="00777DDD"/>
    <w:rsid w:val="007A3AA9"/>
    <w:rsid w:val="007F06D6"/>
    <w:rsid w:val="007F5E80"/>
    <w:rsid w:val="00814C99"/>
    <w:rsid w:val="008361DD"/>
    <w:rsid w:val="0084626C"/>
    <w:rsid w:val="0085167A"/>
    <w:rsid w:val="00886DCC"/>
    <w:rsid w:val="008E6ECB"/>
    <w:rsid w:val="008F091F"/>
    <w:rsid w:val="00901549"/>
    <w:rsid w:val="00901BE7"/>
    <w:rsid w:val="00913049"/>
    <w:rsid w:val="00971A1E"/>
    <w:rsid w:val="00987E16"/>
    <w:rsid w:val="009A2BEC"/>
    <w:rsid w:val="00A112A3"/>
    <w:rsid w:val="00A44F10"/>
    <w:rsid w:val="00AF4721"/>
    <w:rsid w:val="00B43515"/>
    <w:rsid w:val="00B5366A"/>
    <w:rsid w:val="00BC7D4E"/>
    <w:rsid w:val="00C6275D"/>
    <w:rsid w:val="00CD6B0D"/>
    <w:rsid w:val="00D5021F"/>
    <w:rsid w:val="00D60B6D"/>
    <w:rsid w:val="00D94854"/>
    <w:rsid w:val="00E030DF"/>
    <w:rsid w:val="00EC1EB3"/>
    <w:rsid w:val="00F94DD3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07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B02B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C6275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F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06D6"/>
  </w:style>
  <w:style w:type="paragraph" w:styleId="Subsol">
    <w:name w:val="footer"/>
    <w:basedOn w:val="Normal"/>
    <w:link w:val="SubsolCaracter"/>
    <w:uiPriority w:val="99"/>
    <w:unhideWhenUsed/>
    <w:rsid w:val="007F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F06D6"/>
  </w:style>
  <w:style w:type="paragraph" w:styleId="TextnBalon">
    <w:name w:val="Balloon Text"/>
    <w:basedOn w:val="Normal"/>
    <w:link w:val="TextnBalonCaracter"/>
    <w:uiPriority w:val="99"/>
    <w:semiHidden/>
    <w:unhideWhenUsed/>
    <w:rsid w:val="007A3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3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2.ro/index.php/primaria-sectorului-2/rof/regulamentul-de-organizare-si-functionare-al-aparatului-de-specialitate-al-primarului-sectorului-2-aprobat-la-31-03-2022/download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os.wa.gov/_assets/library/libraries/projects/ita/98-365-study-guid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s.wa.gov/_assets/library/libraries/projects/ita/mta%2098-367%20security-fundamentals%20moac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os.wa.gov/_assets/library/libraries/projects/ita/moac_mta_98_365_windows_server_administration_fundamentals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s.wa.gov/_assets/library/libraries/projects/ita/moac_mta_98-349_2e-windows-os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2022-09-08T05:47:00Z</dcterms:created>
  <dcterms:modified xsi:type="dcterms:W3CDTF">2022-09-08T05:47:00Z</dcterms:modified>
</cp:coreProperties>
</file>