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E5" w:rsidRDefault="007D21E8">
      <w:bookmarkStart w:id="0" w:name="_GoBack"/>
      <w:bookmarkEnd w:id="0"/>
      <w:r w:rsidRPr="007D21E8">
        <w:rPr>
          <w:rFonts w:ascii="Times New Roman" w:hAnsi="Times New Roman"/>
          <w:noProof/>
          <w:lang w:eastAsia="ro-RO"/>
        </w:rPr>
        <w:drawing>
          <wp:inline distT="0" distB="0" distL="0" distR="0" wp14:anchorId="0A660312" wp14:editId="06906FE9">
            <wp:extent cx="5900420" cy="1097503"/>
            <wp:effectExtent l="0" t="0" r="5080" b="762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0420" cy="1097503"/>
                    </a:xfrm>
                    <a:prstGeom prst="rect">
                      <a:avLst/>
                    </a:prstGeom>
                  </pic:spPr>
                </pic:pic>
              </a:graphicData>
            </a:graphic>
          </wp:inline>
        </w:drawing>
      </w:r>
    </w:p>
    <w:p w:rsidR="00F334E5" w:rsidRPr="00F334E5" w:rsidRDefault="00F334E5" w:rsidP="00F334E5"/>
    <w:p w:rsidR="002F50DC" w:rsidRDefault="002F50DC" w:rsidP="00AF070C">
      <w:pPr>
        <w:ind w:left="360"/>
        <w:contextualSpacing/>
        <w:jc w:val="center"/>
        <w:rPr>
          <w:rFonts w:ascii="Times New Roman" w:hAnsi="Times New Roman"/>
          <w:b/>
          <w:bCs/>
        </w:rPr>
      </w:pPr>
      <w:r w:rsidRPr="002F50DC">
        <w:rPr>
          <w:rFonts w:ascii="Times New Roman" w:hAnsi="Times New Roman"/>
          <w:b/>
          <w:bCs/>
        </w:rPr>
        <w:t>Atribuţiile postului:</w:t>
      </w:r>
      <w:r w:rsidR="007D21E8">
        <w:rPr>
          <w:rFonts w:ascii="Times New Roman" w:hAnsi="Times New Roman"/>
          <w:b/>
          <w:bCs/>
        </w:rPr>
        <w:t xml:space="preserve"> </w:t>
      </w:r>
      <w:r w:rsidR="00B14DF0">
        <w:rPr>
          <w:rFonts w:ascii="Times New Roman" w:hAnsi="Times New Roman"/>
          <w:b/>
          <w:bCs/>
        </w:rPr>
        <w:t>Șef Serviciu la Serviciul Management Strategic (SMS</w:t>
      </w:r>
      <w:r w:rsidR="005D546B">
        <w:rPr>
          <w:rFonts w:ascii="Times New Roman" w:hAnsi="Times New Roman"/>
          <w:b/>
          <w:bCs/>
        </w:rPr>
        <w:t xml:space="preserve"> 1)</w:t>
      </w:r>
    </w:p>
    <w:p w:rsidR="007D21E8" w:rsidRPr="002F50DC" w:rsidRDefault="007D21E8" w:rsidP="007D21E8">
      <w:pPr>
        <w:ind w:left="360"/>
        <w:contextualSpacing/>
        <w:jc w:val="both"/>
        <w:rPr>
          <w:rFonts w:ascii="Times New Roman" w:hAnsi="Times New Roman"/>
          <w:b/>
          <w:bCs/>
        </w:rPr>
      </w:pPr>
    </w:p>
    <w:p w:rsidR="00B14DF0" w:rsidRPr="00B14DF0" w:rsidRDefault="00B14DF0" w:rsidP="00B14DF0">
      <w:pPr>
        <w:widowControl w:val="0"/>
        <w:numPr>
          <w:ilvl w:val="0"/>
          <w:numId w:val="5"/>
        </w:numPr>
        <w:spacing w:line="276" w:lineRule="auto"/>
        <w:contextualSpacing/>
        <w:jc w:val="both"/>
        <w:rPr>
          <w:rFonts w:ascii="Times New Roman" w:eastAsia="Arial Unicode MS" w:hAnsi="Times New Roman"/>
          <w:color w:val="000000"/>
          <w:lang w:eastAsia="ro-RO" w:bidi="ro-RO"/>
        </w:rPr>
      </w:pPr>
      <w:r w:rsidRPr="00B14DF0">
        <w:rPr>
          <w:rFonts w:ascii="Times New Roman" w:eastAsia="Arial Unicode MS" w:hAnsi="Times New Roman"/>
          <w:noProof/>
          <w:color w:val="000000"/>
          <w:lang w:eastAsia="ro-RO" w:bidi="ro-RO"/>
        </w:rPr>
        <w:t>Identifică activităţile care trebuie desfăşurate de structura condusă, delimitează atribuţiile, stabileşte obiectivele structurii pe care o conduce şi obiectivele individuale ale angajaţilor din subordine.</w:t>
      </w:r>
    </w:p>
    <w:p w:rsidR="00B14DF0" w:rsidRPr="00B14DF0" w:rsidRDefault="00B14DF0" w:rsidP="00B14DF0">
      <w:pPr>
        <w:widowControl w:val="0"/>
        <w:numPr>
          <w:ilvl w:val="0"/>
          <w:numId w:val="5"/>
        </w:numPr>
        <w:spacing w:line="276" w:lineRule="auto"/>
        <w:contextualSpacing/>
        <w:jc w:val="both"/>
        <w:rPr>
          <w:rFonts w:ascii="Times New Roman" w:eastAsia="Arial Unicode MS" w:hAnsi="Times New Roman"/>
          <w:color w:val="000000"/>
          <w:lang w:eastAsia="ro-RO" w:bidi="ro-RO"/>
        </w:rPr>
      </w:pPr>
      <w:r w:rsidRPr="00B14DF0">
        <w:rPr>
          <w:rFonts w:ascii="Times New Roman" w:eastAsia="Arial Unicode MS" w:hAnsi="Times New Roman"/>
          <w:noProof/>
          <w:color w:val="000000"/>
          <w:lang w:eastAsia="ro-RO" w:bidi="ro-RO"/>
        </w:rPr>
        <w:t>Repartizează echilibrat şi echitabil atribuţiile şi obiectivele, în funcţie de nivelul, categoria, clasa şi gradul funcţionarului public.</w:t>
      </w:r>
    </w:p>
    <w:p w:rsidR="00B14DF0" w:rsidRPr="00B14DF0" w:rsidRDefault="00B14DF0" w:rsidP="00B14DF0">
      <w:pPr>
        <w:widowControl w:val="0"/>
        <w:numPr>
          <w:ilvl w:val="0"/>
          <w:numId w:val="5"/>
        </w:numPr>
        <w:spacing w:line="276" w:lineRule="auto"/>
        <w:contextualSpacing/>
        <w:jc w:val="both"/>
        <w:rPr>
          <w:rFonts w:ascii="Times New Roman" w:eastAsia="Arial Unicode MS" w:hAnsi="Times New Roman"/>
          <w:color w:val="000000"/>
          <w:lang w:eastAsia="ro-RO" w:bidi="ro-RO"/>
        </w:rPr>
      </w:pPr>
      <w:r w:rsidRPr="00B14DF0">
        <w:rPr>
          <w:rFonts w:ascii="Times New Roman" w:eastAsia="Arial Unicode MS" w:hAnsi="Times New Roman"/>
          <w:noProof/>
          <w:color w:val="000000"/>
          <w:lang w:eastAsia="ro-RO" w:bidi="ro-RO"/>
        </w:rPr>
        <w:t xml:space="preserve">Intocmește fișele posturilor cuprinse în structura pe care o conduce, </w:t>
      </w:r>
      <w:r w:rsidRPr="00B14DF0">
        <w:rPr>
          <w:rFonts w:ascii="Times New Roman" w:eastAsia="Arial Unicode MS" w:hAnsi="Times New Roman"/>
          <w:color w:val="000000"/>
          <w:lang w:eastAsia="ro-RO" w:bidi="ro-RO"/>
        </w:rPr>
        <w:t>pe baza atribuțiilor cuprinse în Regulamentul de Organizare și Funcționare al instituției și asigură actualizarea acestora în funcţie de modificările intervenite în cadrul activităţii sau/şi în structura organizaţiei.</w:t>
      </w:r>
    </w:p>
    <w:p w:rsidR="00B14DF0" w:rsidRPr="00B14DF0" w:rsidRDefault="00B14DF0" w:rsidP="00B14DF0">
      <w:pPr>
        <w:widowControl w:val="0"/>
        <w:numPr>
          <w:ilvl w:val="0"/>
          <w:numId w:val="5"/>
        </w:numPr>
        <w:spacing w:line="276" w:lineRule="auto"/>
        <w:contextualSpacing/>
        <w:jc w:val="both"/>
        <w:rPr>
          <w:rFonts w:ascii="Times New Roman" w:eastAsia="Arial Unicode MS" w:hAnsi="Times New Roman"/>
          <w:color w:val="000000"/>
          <w:lang w:val="en-US" w:eastAsia="ro-RO" w:bidi="ro-RO"/>
        </w:rPr>
      </w:pPr>
      <w:r w:rsidRPr="00B14DF0">
        <w:rPr>
          <w:rFonts w:ascii="Times New Roman" w:eastAsia="Arial Unicode MS" w:hAnsi="Times New Roman"/>
          <w:noProof/>
          <w:color w:val="000000"/>
          <w:lang w:eastAsia="ro-RO" w:bidi="ro-RO"/>
        </w:rPr>
        <w:t>Planifică şi administrează activitatea structurii pe care o conduce, creează o viziune realistă asupra rolului acestuia in cadrul organizației, o transpune în practică şi o susţine.</w:t>
      </w:r>
    </w:p>
    <w:p w:rsidR="00B14DF0" w:rsidRPr="00B14DF0" w:rsidRDefault="00B14DF0" w:rsidP="00B14DF0">
      <w:pPr>
        <w:widowControl w:val="0"/>
        <w:numPr>
          <w:ilvl w:val="0"/>
          <w:numId w:val="5"/>
        </w:numPr>
        <w:spacing w:line="276" w:lineRule="auto"/>
        <w:contextualSpacing/>
        <w:jc w:val="both"/>
        <w:rPr>
          <w:rFonts w:ascii="Times New Roman" w:eastAsia="Arial Unicode MS" w:hAnsi="Times New Roman"/>
          <w:color w:val="000000"/>
          <w:lang w:eastAsia="ro-RO" w:bidi="ro-RO"/>
        </w:rPr>
      </w:pPr>
      <w:r w:rsidRPr="00B14DF0">
        <w:rPr>
          <w:rFonts w:ascii="Times New Roman" w:eastAsia="Arial Unicode MS" w:hAnsi="Times New Roman"/>
          <w:noProof/>
          <w:color w:val="000000"/>
          <w:lang w:eastAsia="ro-RO" w:bidi="ro-RO"/>
        </w:rPr>
        <w:t>Armonizează deciziile şi acţiunile personalului, activităţile desfăşurate, în vederea realizării obiectivelor stabilite.</w:t>
      </w:r>
    </w:p>
    <w:p w:rsidR="00B14DF0" w:rsidRPr="00B14DF0" w:rsidRDefault="00B14DF0" w:rsidP="00B14DF0">
      <w:pPr>
        <w:widowControl w:val="0"/>
        <w:numPr>
          <w:ilvl w:val="0"/>
          <w:numId w:val="5"/>
        </w:numPr>
        <w:spacing w:line="276" w:lineRule="auto"/>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Îndrumă și sprijină activitatea salariaților din structura pe care o conduce.</w:t>
      </w:r>
    </w:p>
    <w:p w:rsidR="00B14DF0" w:rsidRPr="00B14DF0" w:rsidRDefault="00B14DF0" w:rsidP="00B14DF0">
      <w:pPr>
        <w:widowControl w:val="0"/>
        <w:numPr>
          <w:ilvl w:val="0"/>
          <w:numId w:val="5"/>
        </w:numPr>
        <w:spacing w:line="276" w:lineRule="auto"/>
        <w:jc w:val="both"/>
        <w:rPr>
          <w:rFonts w:ascii="Times New Roman" w:eastAsia="Arial Unicode MS" w:hAnsi="Times New Roman"/>
          <w:bCs/>
          <w:color w:val="000000"/>
          <w:lang w:eastAsia="ro-RO" w:bidi="ro-RO"/>
        </w:rPr>
      </w:pPr>
      <w:r w:rsidRPr="00B14DF0">
        <w:rPr>
          <w:rFonts w:ascii="Times New Roman" w:eastAsia="Arial Unicode MS" w:hAnsi="Times New Roman"/>
          <w:color w:val="000000"/>
          <w:lang w:eastAsia="ro-RO" w:bidi="ro-RO"/>
        </w:rPr>
        <w:t>Verifică modul de rezolvare în termen a lucrărilor repartizate în serviciul pe care îl conduce.</w:t>
      </w:r>
    </w:p>
    <w:p w:rsidR="00B14DF0" w:rsidRPr="00B14DF0" w:rsidRDefault="00B14DF0" w:rsidP="00B14DF0">
      <w:pPr>
        <w:widowControl w:val="0"/>
        <w:numPr>
          <w:ilvl w:val="0"/>
          <w:numId w:val="5"/>
        </w:numPr>
        <w:spacing w:line="276" w:lineRule="auto"/>
        <w:contextualSpacing/>
        <w:jc w:val="both"/>
        <w:rPr>
          <w:rFonts w:ascii="Times New Roman" w:eastAsia="Arial Unicode MS" w:hAnsi="Times New Roman"/>
          <w:color w:val="000000"/>
          <w:lang w:eastAsia="ro-RO" w:bidi="ro-RO"/>
        </w:rPr>
      </w:pPr>
      <w:r w:rsidRPr="00B14DF0">
        <w:rPr>
          <w:rFonts w:ascii="Times New Roman" w:eastAsia="Arial Unicode MS" w:hAnsi="Times New Roman"/>
          <w:noProof/>
          <w:color w:val="000000"/>
          <w:lang w:eastAsia="ro-RO" w:bidi="ro-RO"/>
        </w:rPr>
        <w:t>Depistează deficienţele apărute în cadrul structurii pe care o conduce şi ia măsurile necesare pentru corectarea în timp util a acestora.</w:t>
      </w:r>
    </w:p>
    <w:p w:rsidR="00B14DF0" w:rsidRPr="00B14DF0" w:rsidRDefault="00B14DF0" w:rsidP="00B14DF0">
      <w:pPr>
        <w:widowControl w:val="0"/>
        <w:numPr>
          <w:ilvl w:val="0"/>
          <w:numId w:val="5"/>
        </w:numPr>
        <w:spacing w:line="276" w:lineRule="auto"/>
        <w:contextualSpacing/>
        <w:jc w:val="both"/>
        <w:rPr>
          <w:rFonts w:ascii="Times New Roman" w:eastAsia="Arial Unicode MS" w:hAnsi="Times New Roman"/>
          <w:color w:val="000000"/>
          <w:lang w:eastAsia="ro-RO" w:bidi="ro-RO"/>
        </w:rPr>
      </w:pPr>
      <w:r w:rsidRPr="00B14DF0">
        <w:rPr>
          <w:rFonts w:ascii="Times New Roman" w:eastAsia="Arial Unicode MS" w:hAnsi="Times New Roman"/>
          <w:noProof/>
          <w:color w:val="000000"/>
          <w:lang w:eastAsia="ro-RO" w:bidi="ro-RO"/>
        </w:rPr>
        <w:t>Adoptă hotărâri şi decizii în timp util, cu simţ de răspundere şi conform competenţei legale, cu privire la desfăşurarea activităţii structurii conduse, cu acordul șefului ierarhic superior.</w:t>
      </w:r>
    </w:p>
    <w:p w:rsidR="00B14DF0" w:rsidRPr="00B14DF0" w:rsidRDefault="00B14DF0" w:rsidP="00B14DF0">
      <w:pPr>
        <w:widowControl w:val="0"/>
        <w:numPr>
          <w:ilvl w:val="0"/>
          <w:numId w:val="5"/>
        </w:numPr>
        <w:tabs>
          <w:tab w:val="left" w:pos="450"/>
        </w:tabs>
        <w:spacing w:line="276" w:lineRule="auto"/>
        <w:contextualSpacing/>
        <w:jc w:val="both"/>
        <w:rPr>
          <w:rFonts w:ascii="Times New Roman" w:eastAsia="Arial Unicode MS" w:hAnsi="Times New Roman"/>
          <w:color w:val="000000"/>
          <w:lang w:eastAsia="ro-RO" w:bidi="ro-RO"/>
        </w:rPr>
      </w:pPr>
      <w:r w:rsidRPr="00B14DF0">
        <w:rPr>
          <w:rFonts w:ascii="Times New Roman" w:eastAsia="Arial Unicode MS" w:hAnsi="Times New Roman"/>
          <w:noProof/>
          <w:color w:val="000000"/>
          <w:lang w:eastAsia="ro-RO" w:bidi="ro-RO"/>
        </w:rPr>
        <w:t>Organizează eficient activitatea personalului din subordine, creează, implementează şi menţine politici de personal eficiente.</w:t>
      </w:r>
    </w:p>
    <w:p w:rsidR="00B14DF0" w:rsidRPr="00B14DF0" w:rsidRDefault="00B14DF0" w:rsidP="00B14DF0">
      <w:pPr>
        <w:widowControl w:val="0"/>
        <w:numPr>
          <w:ilvl w:val="0"/>
          <w:numId w:val="5"/>
        </w:numPr>
        <w:tabs>
          <w:tab w:val="left" w:pos="450"/>
        </w:tabs>
        <w:spacing w:line="276" w:lineRule="auto"/>
        <w:contextualSpacing/>
        <w:jc w:val="both"/>
        <w:rPr>
          <w:rFonts w:ascii="Times New Roman" w:eastAsia="Arial Unicode MS" w:hAnsi="Times New Roman"/>
          <w:color w:val="000000"/>
          <w:lang w:val="en-US" w:eastAsia="ro-RO" w:bidi="ro-RO"/>
        </w:rPr>
      </w:pPr>
      <w:r w:rsidRPr="00B14DF0">
        <w:rPr>
          <w:rFonts w:ascii="Times New Roman" w:eastAsia="Arial Unicode MS" w:hAnsi="Times New Roman"/>
          <w:color w:val="000000"/>
          <w:lang w:eastAsia="ro-RO" w:bidi="ro-RO"/>
        </w:rPr>
        <w:t>Instruiește personalul din subordine în legătură cu noile reglementări legislative legate de activitatea structurii pe care o conduce.</w:t>
      </w:r>
    </w:p>
    <w:p w:rsidR="00B14DF0" w:rsidRPr="00B14DF0" w:rsidRDefault="00B14DF0" w:rsidP="00B14DF0">
      <w:pPr>
        <w:widowControl w:val="0"/>
        <w:numPr>
          <w:ilvl w:val="0"/>
          <w:numId w:val="5"/>
        </w:numPr>
        <w:tabs>
          <w:tab w:val="left" w:pos="450"/>
        </w:tabs>
        <w:spacing w:line="276" w:lineRule="auto"/>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Analizează eficienţa activităţii personalului din subordine şi evaluează performanţele profesionale ale acestuia.</w:t>
      </w:r>
      <w:r w:rsidRPr="00B14DF0">
        <w:rPr>
          <w:rFonts w:ascii="Times New Roman" w:eastAsia="Arial Unicode MS" w:hAnsi="Times New Roman"/>
          <w:b/>
          <w:color w:val="000000"/>
          <w:lang w:eastAsia="ro-RO" w:bidi="ro-RO"/>
        </w:rPr>
        <w:t xml:space="preserve"> </w:t>
      </w:r>
    </w:p>
    <w:p w:rsidR="00B14DF0" w:rsidRPr="00B14DF0" w:rsidRDefault="00B14DF0" w:rsidP="00B14DF0">
      <w:pPr>
        <w:widowControl w:val="0"/>
        <w:numPr>
          <w:ilvl w:val="0"/>
          <w:numId w:val="5"/>
        </w:numPr>
        <w:tabs>
          <w:tab w:val="left" w:pos="450"/>
        </w:tabs>
        <w:spacing w:line="276" w:lineRule="auto"/>
        <w:contextualSpacing/>
        <w:jc w:val="both"/>
        <w:rPr>
          <w:rFonts w:ascii="Times New Roman" w:eastAsia="Arial Unicode MS" w:hAnsi="Times New Roman"/>
          <w:color w:val="000000"/>
          <w:lang w:eastAsia="ro-RO" w:bidi="ro-RO"/>
        </w:rPr>
      </w:pPr>
      <w:r w:rsidRPr="00B14DF0">
        <w:rPr>
          <w:rFonts w:ascii="Times New Roman" w:eastAsia="Arial Unicode MS" w:hAnsi="Times New Roman"/>
          <w:bCs/>
          <w:color w:val="000000"/>
          <w:lang w:eastAsia="ro-RO" w:bidi="ro-RO"/>
        </w:rPr>
        <w:t xml:space="preserve">Planifică, organizează și îndrumă </w:t>
      </w:r>
      <w:r w:rsidRPr="00B14DF0">
        <w:rPr>
          <w:rFonts w:ascii="Times New Roman" w:eastAsia="Arial Unicode MS" w:hAnsi="Times New Roman"/>
          <w:color w:val="000000"/>
          <w:lang w:eastAsia="ro-RO" w:bidi="ro-RO"/>
        </w:rPr>
        <w:t>activitatea Serviciului Management Strategic în ceea ce privește</w:t>
      </w:r>
      <w:r w:rsidRPr="00B14DF0">
        <w:rPr>
          <w:rFonts w:ascii="Times New Roman" w:eastAsia="Arial Unicode MS" w:hAnsi="Times New Roman"/>
          <w:color w:val="000000"/>
          <w:lang w:val="en-US" w:eastAsia="ro-RO" w:bidi="ro-RO"/>
        </w:rPr>
        <w:t>:</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fundamentarea și coordonarea elaborării strategiei de dezvoltare locală la nivelul Sectorului 2, și asigurarea armonizării cu aceasta a tuturor strategiilor, politicilor și programelor de dezvoltare locală;</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monitorizarea gradului de îndeplinire a strategiei de dezvoltare a Sectorului 2 pe domenii specifice menționate în cadrul strategiei;</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fundamentarea și coordonarea actualizării strategiei de dezvoltare locală ca urmare a apariției unor devieri de la planificare, a unor situații de criză sau de forță majoră sau a identificării unor noi oportunități de dezvoltare locală, asigurând impactul așteptat prin readucerea strategiei sau proiectelor pe sensul de implementare prevăzut;</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asigurarea implementării Planului de acțiuni asociat strategiei de dezvoltare durabilă aprobată de către Consiliul Local Sector 2;</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lastRenderedPageBreak/>
        <w:t>propunerea, elaborarea şi coordonarea implementării politicilor publice specifice Sectorului 2, în conformitate cu prevederile strategiei de dezvoltare a Sectorului 2;</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propunerea, elaborarea şi coordonarea implementării programelor de dezvoltare strategică a Sectorului 2, în conformitate cu prevederile strategiei de dezvoltare a Sectorului 2;</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elaborarea şi coordonarea implementării proiectelor strategice ale Sectorului 2, în conformitate cu prevederile strategiei de dezvoltare a Sectorului 2;</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asigurarea repre</w:t>
      </w:r>
      <w:r w:rsidRPr="00B14DF0">
        <w:rPr>
          <w:rFonts w:ascii="Times New Roman" w:eastAsia="Arial Unicode MS" w:hAnsi="Times New Roman"/>
          <w:color w:val="000000"/>
          <w:lang w:val="en-US" w:eastAsia="ro-RO" w:bidi="ro-RO"/>
        </w:rPr>
        <w:t>zentării interna</w:t>
      </w:r>
      <w:r w:rsidRPr="00B14DF0">
        <w:rPr>
          <w:rFonts w:ascii="Times New Roman" w:eastAsia="Arial Unicode MS" w:hAnsi="Times New Roman"/>
          <w:color w:val="000000"/>
          <w:lang w:eastAsia="ro-RO" w:bidi="ro-RO"/>
        </w:rPr>
        <w:t>ţionale a Sectorului 2 al Municipiului Bucureşti, în limitele prevăzute de lege şi în conformitate cu atribuţiile delegate de reprezentantul legal al instituţiei;</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asigurarea suportului de specialitate pentru persoanele mandatate să reprezinte Sectorul 2 al Municipiului Bucureşti în structurile asociative internaţionale sau în cadrul unor acţiuni oficiale cu participare internaţională</w:t>
      </w:r>
      <w:r w:rsidRPr="00B14DF0">
        <w:rPr>
          <w:rFonts w:ascii="Times New Roman" w:eastAsia="Arial Unicode MS" w:hAnsi="Times New Roman"/>
          <w:color w:val="000000"/>
          <w:lang w:val="en-US" w:eastAsia="ro-RO" w:bidi="ro-RO"/>
        </w:rPr>
        <w:t>;</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întocmirea rapoartelor, punctelor de vedere, analizelor privind activitatea organizaţiilor internaţionale a căror activitate poate avea impact asupra dezvoltării socio-economice a Sectorului 2 al Municipiului Bucureşti;</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promovarea imaginii externe a Sectorului 2 cu scopul intensificării oportunităţilor de cooperare internaţională;</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pregătirea documentării de specialitate şi asigurarea cadrului administrativ şi legal în vederea încheierii acordurilor de cooperare naţională sau internaţională, inclusiv participarea în cadrul unor orgnizaţii naţionale sau internaţionale;</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întocmirea Raportului anual privind starea economico-socială a Sectorului al Municipiului București solicitat de către Instituția Prefectului Municipiului București conform prevederilor art. 6 alin. (1)  pct. 1 lit. f) din Hotărârea Guvernului nr. 460/2006 pentru aplicarea unor prevederi ale legii nr. 340/2004, Instituția Prefectului Municipiului București</w:t>
      </w:r>
      <w:r w:rsidRPr="00B14DF0">
        <w:rPr>
          <w:rFonts w:ascii="Times New Roman" w:eastAsia="Arial Unicode MS" w:hAnsi="Times New Roman"/>
          <w:color w:val="000000"/>
          <w:lang w:val="en-GB" w:eastAsia="ro-RO" w:bidi="ro-RO"/>
        </w:rPr>
        <w:t>;</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întocmirea Raportului anual privind starea economică, socială și de mediu a Sectorului 2 al Municipiului București conform art. 155 alin.3 lit. a) din OUG nr. 57/2019 privind Codul Administrativ, cu modificările și completările ulterioare;</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 xml:space="preserve">întocmirea Planului de acțiuni anual pentru </w:t>
      </w:r>
      <w:r w:rsidRPr="00B14DF0">
        <w:rPr>
          <w:rFonts w:ascii="Times New Roman" w:eastAsia="Arial Unicode MS" w:hAnsi="Times New Roman"/>
          <w:lang w:eastAsia="ro-RO" w:bidi="ro-RO"/>
        </w:rPr>
        <w:t>realizarea în județ, respectiv în municipiul București</w:t>
      </w:r>
      <w:r w:rsidRPr="00B14DF0">
        <w:rPr>
          <w:rFonts w:ascii="Times New Roman" w:eastAsia="Arial Unicode MS" w:hAnsi="Times New Roman"/>
          <w:color w:val="000000"/>
          <w:lang w:eastAsia="ro-RO" w:bidi="ro-RO"/>
        </w:rPr>
        <w:t xml:space="preserve"> a obiectivelor cuprinse în Programul de guvernare conform art.6 alin. (2) lit. a) din Hotărârea Guvernului nr. 906/2020 pentru aplicarea unor prevederi ale OUG 57/2019 privind Codul Administrativ;</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întocmirea Raportului privind Planul de acțiuni anual pentru realizarea în județ, respectiv în municipiul București a obiectivelor cuprinse în Programul de guvernare conform art.6 alin. (2) lit. a) din Hotărârea Guvernului nr. 906/2020 pentru aplicarea unor prevederi ale OUG 57/2019 privind Codul Administrativ;</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Calibri" w:hAnsi="Times New Roman"/>
          <w:lang w:bidi="ro-RO"/>
        </w:rPr>
        <w:t>asigurarea pregătirii Caietelor de sarcini şi</w:t>
      </w:r>
      <w:r w:rsidRPr="00B14DF0">
        <w:rPr>
          <w:rFonts w:ascii="Times New Roman" w:eastAsia="Calibri" w:hAnsi="Times New Roman"/>
          <w:color w:val="000000"/>
          <w:lang w:bidi="ro-RO"/>
        </w:rPr>
        <w:t xml:space="preserve"> propune criterii de evaluare pentru realizarea achiziţiei,  în cazul în care achiziţia implică activitatea serviciului</w:t>
      </w:r>
      <w:r w:rsidRPr="00B14DF0">
        <w:rPr>
          <w:rFonts w:ascii="Times New Roman" w:eastAsia="Calibri" w:hAnsi="Times New Roman"/>
          <w:color w:val="000000"/>
          <w:lang w:val="en-GB" w:bidi="ro-RO"/>
        </w:rPr>
        <w:t>;</w:t>
      </w:r>
    </w:p>
    <w:p w:rsidR="00B14DF0" w:rsidRPr="00B14DF0" w:rsidRDefault="00B14DF0" w:rsidP="00B14DF0">
      <w:pPr>
        <w:widowControl w:val="0"/>
        <w:numPr>
          <w:ilvl w:val="0"/>
          <w:numId w:val="9"/>
        </w:numPr>
        <w:autoSpaceDN w:val="0"/>
        <w:spacing w:line="276" w:lineRule="auto"/>
        <w:ind w:left="1134" w:hanging="283"/>
        <w:jc w:val="both"/>
        <w:rPr>
          <w:rFonts w:ascii="Times New Roman" w:eastAsia="Arial Unicode MS" w:hAnsi="Times New Roman"/>
          <w:color w:val="000000"/>
          <w:lang w:eastAsia="ro-RO" w:bidi="ro-RO"/>
        </w:rPr>
      </w:pPr>
      <w:r w:rsidRPr="00B14DF0">
        <w:rPr>
          <w:rFonts w:ascii="Times New Roman" w:eastAsia="Calibri" w:hAnsi="Times New Roman"/>
          <w:color w:val="000000"/>
          <w:lang w:bidi="ro-RO"/>
        </w:rPr>
        <w:t>participarea în comisiile de evaluare a ofertelor depuse de operatorii economici la atribuirea contractelor de bunuri/servicii/lucrări, în cazul în care achiziţia implică activitatea serviciului;</w:t>
      </w:r>
    </w:p>
    <w:p w:rsidR="00B14DF0" w:rsidRPr="00B14DF0" w:rsidRDefault="00B14DF0" w:rsidP="00B14DF0">
      <w:pPr>
        <w:widowControl w:val="0"/>
        <w:numPr>
          <w:ilvl w:val="0"/>
          <w:numId w:val="9"/>
        </w:numPr>
        <w:pBdr>
          <w:top w:val="nil"/>
          <w:left w:val="nil"/>
          <w:bottom w:val="nil"/>
          <w:right w:val="nil"/>
          <w:between w:val="nil"/>
        </w:pBdr>
        <w:suppressAutoHyphens/>
        <w:autoSpaceDN w:val="0"/>
        <w:spacing w:line="276" w:lineRule="auto"/>
        <w:ind w:left="1134" w:hanging="283"/>
        <w:jc w:val="both"/>
        <w:textDirection w:val="btLr"/>
        <w:textAlignment w:val="top"/>
        <w:outlineLvl w:val="0"/>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urmărirea derulării contractelor de achiziție publică și a acordurilor cadru care au ca obiect activitatea structurii</w:t>
      </w:r>
      <w:r w:rsidRPr="00B14DF0">
        <w:rPr>
          <w:rFonts w:ascii="Times New Roman" w:eastAsia="Arial Unicode MS" w:hAnsi="Times New Roman"/>
          <w:color w:val="000000"/>
          <w:lang w:val="en-US" w:eastAsia="ro-RO" w:bidi="ro-RO"/>
        </w:rPr>
        <w:t>:</w:t>
      </w:r>
      <w:r w:rsidRPr="00B14DF0">
        <w:rPr>
          <w:rFonts w:ascii="Times New Roman" w:eastAsia="Arial Unicode MS" w:hAnsi="Times New Roman"/>
          <w:color w:val="000000"/>
          <w:lang w:eastAsia="ro-RO" w:bidi="ro-RO"/>
        </w:rPr>
        <w:t xml:space="preserve"> </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 xml:space="preserve">asigură monitorizarea şi raportarea încheierii/atribuirii/întârzierii contractelor de achiziţii publice/acord - cadru lucrări de servicii, produse şi lucrări, încheiate la nivelul Primăriei Sectorului 2 al Municipiului Bucureşti care vizează activitatea serviciului; </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 xml:space="preserve">analizează rezultatele obţinute în urma implementării contractelor şi a monitorizării execuţiei </w:t>
      </w:r>
      <w:r w:rsidRPr="00B14DF0">
        <w:rPr>
          <w:rFonts w:ascii="Times New Roman" w:eastAsia="Arial Unicode MS" w:hAnsi="Times New Roman"/>
          <w:color w:val="000000"/>
          <w:lang w:eastAsia="ro-RO" w:bidi="ro-RO"/>
        </w:rPr>
        <w:lastRenderedPageBreak/>
        <w:t>acestora comparativ cu cele preconizate în etapa de planificare, identifică necesităţile şi propune măsurile de îmbunătăţire a activităţii;</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completează și păstrează dosarele achizițiilor publice referitor la urmărirea și derularea contractelor;</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verifică și avizează facturile și transmite documentele justificative către Direcția Economică, vizate cu ,,Bun de plată” și ,,Certificat în privința realității, regularității și legalității” pentru sumele de plată de către compartimentele nominalizate prin Dispoziția Primarului Sectorului 2 nr. 1901/2018, privind recepția bunurilor, execuția lucrărilor, serviciile prestate și altele asemenea, conform angajamentelor legale încheiate;</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întocmește documentația necesară efectuării plăților parțiale și finale în cadrul contractelor / comenzilor/ documentelor justificative de achiziție publică produse/ servicii/ lucrări derulate de serviciu</w:t>
      </w:r>
      <w:r w:rsidRPr="00B14DF0">
        <w:rPr>
          <w:rFonts w:ascii="Times New Roman" w:eastAsia="Arial Unicode MS" w:hAnsi="Times New Roman"/>
          <w:color w:val="000000"/>
          <w:lang w:val="en-US" w:eastAsia="ro-RO" w:bidi="ro-RO"/>
        </w:rPr>
        <w:t>;</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verifică și avizează documentele pentru eliberarea parțială sau totală a garanțiilor de bună execuție, alte rețineri pentru lucrările de proastă calitate, penalități de întârziere, daune etc.</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analizează și întocmește documentele suport privind modificarea contractelor de achiziţie publică/ acordurilor - cadru în condițiile legii;</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participă în comisiile de recepție a produselor/ serviciilor/ lucrărilor contractelor derulate la nivelul serviciului, conform împuternicirii primite prin Dispoziție de Primar;</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întocmește actele adiționale rezultate urmare a modificării contractelor de achiziție publică / acordurilor cadru în condițiile Legii și urmează procedura de avizare și semnare necesară pentru încheierea acestora;</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întocmește proiectele de hotărâre și rapoartele de specialitate, realizează demersurile necesare în vederea supunerii spre aprobare de către Consiliul Local Sector 2 a indicatorilor tehnico-economici din documentaţia de avizare, potrivit atribuțiilor serviciului;</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elaborează în 2 exemplare documentele constatatoare prevăzute la art. 166 din Hotărârea nr. 395/2016 din 2 iunie 2016 pentru aprobarea Normelor metodologice de aplicare a prevederilor referitoare la atribuirea contractului de achiziţie publică/acordului-cadru din Legea nr. 98/2016 privind achiziţiile publice</w:t>
      </w:r>
    </w:p>
    <w:p w:rsidR="00B14DF0" w:rsidRPr="00B14DF0" w:rsidRDefault="00B14DF0" w:rsidP="00B14DF0">
      <w:pPr>
        <w:widowControl w:val="0"/>
        <w:numPr>
          <w:ilvl w:val="0"/>
          <w:numId w:val="10"/>
        </w:numPr>
        <w:spacing w:line="276" w:lineRule="auto"/>
        <w:ind w:left="1134"/>
        <w:contextualSpacing/>
        <w:jc w:val="both"/>
        <w:rPr>
          <w:rFonts w:ascii="Times New Roman" w:eastAsia="Arial Unicode MS" w:hAnsi="Times New Roman"/>
          <w:color w:val="000000"/>
          <w:lang w:eastAsia="ro-RO" w:bidi="ro-RO"/>
        </w:rPr>
      </w:pPr>
      <w:r w:rsidRPr="00B14DF0">
        <w:rPr>
          <w:rFonts w:ascii="Times New Roman" w:eastAsia="Arial Unicode MS" w:hAnsi="Times New Roman"/>
          <w:color w:val="000000"/>
          <w:lang w:eastAsia="ro-RO" w:bidi="ro-RO"/>
        </w:rPr>
        <w:t>face propuneri de modificare/ completare a modelelor de contract de achiziție publică urmare a monitorizării și derulării contractelor;</w:t>
      </w:r>
    </w:p>
    <w:p w:rsidR="00B14DF0" w:rsidRPr="00B14DF0" w:rsidRDefault="00B14DF0" w:rsidP="00B14DF0">
      <w:pPr>
        <w:widowControl w:val="0"/>
        <w:numPr>
          <w:ilvl w:val="0"/>
          <w:numId w:val="5"/>
        </w:numPr>
        <w:autoSpaceDN w:val="0"/>
        <w:spacing w:line="276" w:lineRule="auto"/>
        <w:ind w:left="709" w:hanging="567"/>
        <w:contextualSpacing/>
        <w:jc w:val="both"/>
        <w:rPr>
          <w:rFonts w:ascii="Times New Roman" w:eastAsia="Arial Unicode MS" w:hAnsi="Times New Roman"/>
          <w:color w:val="000000"/>
          <w:lang w:eastAsia="ro-RO" w:bidi="ro-RO"/>
        </w:rPr>
      </w:pPr>
      <w:r w:rsidRPr="00B14DF0">
        <w:rPr>
          <w:rFonts w:ascii="Times New Roman" w:eastAsia="Calibri" w:hAnsi="Times New Roman"/>
          <w:color w:val="000000"/>
          <w:lang w:bidi="ro-RO"/>
        </w:rPr>
        <w:t>Participă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compartimentului;</w:t>
      </w:r>
    </w:p>
    <w:p w:rsidR="00B14DF0" w:rsidRPr="00B14DF0" w:rsidRDefault="00B14DF0" w:rsidP="00B14DF0">
      <w:pPr>
        <w:widowControl w:val="0"/>
        <w:numPr>
          <w:ilvl w:val="0"/>
          <w:numId w:val="5"/>
        </w:numPr>
        <w:autoSpaceDN w:val="0"/>
        <w:spacing w:line="276" w:lineRule="auto"/>
        <w:ind w:left="709" w:hanging="567"/>
        <w:jc w:val="both"/>
        <w:rPr>
          <w:rFonts w:ascii="Times New Roman" w:eastAsia="Arial Unicode MS" w:hAnsi="Times New Roman"/>
          <w:color w:val="000000"/>
          <w:lang w:eastAsia="ro-RO" w:bidi="ro-RO"/>
        </w:rPr>
      </w:pPr>
      <w:r w:rsidRPr="00B14DF0">
        <w:rPr>
          <w:rFonts w:ascii="Times New Roman" w:eastAsia="Calibri" w:hAnsi="Times New Roman"/>
          <w:color w:val="000000"/>
          <w:lang w:bidi="ro-RO"/>
        </w:rPr>
        <w:t>Participă la implementarea proiectelor finanţate din fonduri rambursabile sau nerambursabile specifice activităţii compartimentului.</w:t>
      </w:r>
    </w:p>
    <w:p w:rsidR="00A84EDC" w:rsidRPr="00B14DF0" w:rsidRDefault="00B14DF0" w:rsidP="00B14DF0">
      <w:pPr>
        <w:widowControl w:val="0"/>
        <w:numPr>
          <w:ilvl w:val="0"/>
          <w:numId w:val="5"/>
        </w:numPr>
        <w:autoSpaceDN w:val="0"/>
        <w:spacing w:line="276" w:lineRule="auto"/>
        <w:ind w:left="709" w:hanging="567"/>
        <w:jc w:val="both"/>
        <w:rPr>
          <w:rFonts w:ascii="Times New Roman" w:eastAsia="Arial Unicode MS" w:hAnsi="Times New Roman"/>
          <w:color w:val="000000"/>
          <w:lang w:eastAsia="ro-RO" w:bidi="ro-RO"/>
        </w:rPr>
      </w:pPr>
      <w:r w:rsidRPr="00B14DF0">
        <w:rPr>
          <w:rFonts w:ascii="Times New Roman" w:eastAsia="Arial Unicode MS" w:hAnsi="Times New Roman"/>
          <w:lang w:eastAsia="ro-RO" w:bidi="ro-RO"/>
        </w:rPr>
        <w:t xml:space="preserve">Efectuează </w:t>
      </w:r>
      <w:r w:rsidRPr="00B14DF0">
        <w:rPr>
          <w:rFonts w:ascii="Times New Roman" w:eastAsia="Arial Unicode MS" w:hAnsi="Times New Roman"/>
          <w:i/>
          <w:lang w:eastAsia="ro-RO" w:bidi="ro-RO"/>
        </w:rPr>
        <w:t xml:space="preserve">orice altă sarcină profesională </w:t>
      </w:r>
      <w:r w:rsidRPr="00B14DF0">
        <w:rPr>
          <w:rFonts w:ascii="Times New Roman" w:eastAsia="Arial Unicode MS" w:hAnsi="Times New Roman"/>
          <w:lang w:eastAsia="ro-RO" w:bidi="ro-RO"/>
        </w:rPr>
        <w:t>care are legătură cu  atribuțiile serviciului, solicitate  de Directorul Genera</w:t>
      </w:r>
      <w:r>
        <w:rPr>
          <w:rFonts w:ascii="Times New Roman" w:eastAsia="Arial Unicode MS" w:hAnsi="Times New Roman"/>
          <w:lang w:eastAsia="ro-RO" w:bidi="ro-RO"/>
        </w:rPr>
        <w:t>l sau de conducerea instituției</w:t>
      </w:r>
    </w:p>
    <w:sectPr w:rsidR="00A84EDC" w:rsidRPr="00B14DF0" w:rsidSect="00322C1D">
      <w:headerReference w:type="even" r:id="rId8"/>
      <w:headerReference w:type="default" r:id="rId9"/>
      <w:footerReference w:type="even" r:id="rId10"/>
      <w:footerReference w:type="default" r:id="rId11"/>
      <w:headerReference w:type="first" r:id="rId12"/>
      <w:footerReference w:type="first" r:id="rId13"/>
      <w:pgSz w:w="12240" w:h="15840"/>
      <w:pgMar w:top="567" w:right="1043" w:bottom="567" w:left="1247"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ED5" w:rsidRDefault="006E5ED5" w:rsidP="00721DC5">
      <w:r>
        <w:separator/>
      </w:r>
    </w:p>
  </w:endnote>
  <w:endnote w:type="continuationSeparator" w:id="0">
    <w:p w:rsidR="006E5ED5" w:rsidRDefault="006E5ED5"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70" w:rsidRDefault="002D047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70" w:rsidRDefault="002D047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70" w:rsidRDefault="002D047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ED5" w:rsidRDefault="006E5ED5" w:rsidP="00721DC5">
      <w:r>
        <w:separator/>
      </w:r>
    </w:p>
  </w:footnote>
  <w:footnote w:type="continuationSeparator" w:id="0">
    <w:p w:rsidR="006E5ED5" w:rsidRDefault="006E5ED5"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70" w:rsidRDefault="002D047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2F50DC">
    <w:pPr>
      <w:pStyle w:val="Antet"/>
    </w:pPr>
    <w:r>
      <w:rPr>
        <w:noProof/>
        <w:lang w:eastAsia="ro-RO"/>
      </w:rPr>
      <mc:AlternateContent>
        <mc:Choice Requires="wps">
          <w:drawing>
            <wp:anchor distT="0" distB="0" distL="114300" distR="114300" simplePos="0" relativeHeight="251660288" behindDoc="0" locked="0" layoutInCell="1" allowOverlap="1">
              <wp:simplePos x="0" y="0"/>
              <wp:positionH relativeFrom="column">
                <wp:posOffset>1185545</wp:posOffset>
              </wp:positionH>
              <wp:positionV relativeFrom="paragraph">
                <wp:posOffset>818515</wp:posOffset>
              </wp:positionV>
              <wp:extent cx="4751070" cy="318135"/>
              <wp:effectExtent l="0" t="0" r="0" b="5715"/>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318135"/>
                      </a:xfrm>
                      <a:prstGeom prst="rect">
                        <a:avLst/>
                      </a:prstGeom>
                      <a:noFill/>
                      <a:ln w="9525">
                        <a:noFill/>
                        <a:miter lim="800000"/>
                        <a:headEnd/>
                        <a:tailEnd/>
                      </a:ln>
                    </wps:spPr>
                    <wps:txbx>
                      <w:txbxContent>
                        <w:p w:rsidR="002C1211" w:rsidRPr="00832FE0" w:rsidRDefault="002C1211" w:rsidP="002C1211">
                          <w:pPr>
                            <w:jc w:val="center"/>
                            <w:rPr>
                              <w:rFonts w:ascii="Times New Roman" w:hAnsi="Times New Roman"/>
                              <w:b/>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93.35pt;margin-top:64.45pt;width:374.1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bUEwIAAPgDAAAOAAAAZHJzL2Uyb0RvYy54bWysU9uO0zAQfUfiHyy/0yS90G5Ud7V0WYS0&#10;XKSFD3Adp7GwPcZ2myyv/Bofxtjpdit4Q+TB8mRmzsw5M15fD0aTo/RBgWW0mpSUSCugUXbP6Ncv&#10;d69WlITIbcM1WMnoowz0evPyxbp3tZxCB7qRniCIDXXvGO1idHVRBNFJw8MEnLTobMEbHtH0+6Lx&#10;vEd0o4tpWb4uevCN8yBkCPj3dnTSTcZvWynip7YNMhLNKPYW8+nzuUtnsVnzeu+565Q4tcH/oQvD&#10;lcWiZ6hbHjk5ePUXlFHCQ4A2TgSYAtpWCZk5IJuq/IPNQ8edzFxQnODOMoX/Bys+Hj97ohpGZ+WS&#10;EssNDmnLUbFfP0mUQyTTpFHvQo2hDw6D4/AGBpx15hvcPYhvgVjYdtzu5Y330HeSN9hjlTKLi9QR&#10;JySQXf8BGizFDxEy0NB6kwRESQii46wez/NJbQj8OV8uqnKJLoG+WbWqZotcgtdP2c6H+E6CIenC&#10;qMf5Z3R+vA8xdcPrp5BUzMKd0jrvgLakZ/RqMV3khAuPURFXVCvD6KpM37g0ieRb2+TkyJUe71hA&#10;2xPrRHSkHIfdgIFJih00j8jfw7iK+HTw0oH/QUmPa8ho+H7gXlKi31vU8Kqaz9PeZmO+WE7R8Jee&#10;3aWHW4FQjEZKxus25l0fud6g1q3KMjx3cuoV1yurc3oKaX8v7Rz1/GA3vwE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Dc&#10;UjbUEwIAAPgDAAAOAAAAAAAAAAAAAAAAAC4CAABkcnMvZTJvRG9jLnhtbFBLAQItABQABgAIAAAA&#10;IQC8n4J13gAAAAsBAAAPAAAAAAAAAAAAAAAAAG0EAABkcnMvZG93bnJldi54bWxQSwUGAAAAAAQA&#10;BADzAAAAeAUAAAAA&#10;" filled="f" stroked="f">
              <v:textbox>
                <w:txbxContent>
                  <w:p w:rsidR="002C1211" w:rsidRPr="00832FE0" w:rsidRDefault="002C1211" w:rsidP="002C1211">
                    <w:pPr>
                      <w:jc w:val="center"/>
                      <w:rPr>
                        <w:rFonts w:ascii="Times New Roman" w:hAnsi="Times New Roman"/>
                        <w:b/>
                        <w:sz w:val="28"/>
                        <w:szCs w:val="28"/>
                        <w:lang w:val="en-US"/>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70" w:rsidRDefault="002D047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327A3"/>
    <w:multiLevelType w:val="hybridMultilevel"/>
    <w:tmpl w:val="7BCA9256"/>
    <w:lvl w:ilvl="0" w:tplc="6E54F41C">
      <w:start w:val="1"/>
      <w:numFmt w:val="lowerLetter"/>
      <w:lvlText w:val="%1)"/>
      <w:lvlJc w:val="left"/>
      <w:pPr>
        <w:ind w:left="720" w:hanging="360"/>
      </w:pPr>
      <w:rPr>
        <w:b/>
        <w:sz w:val="22"/>
        <w:szCs w:val="22"/>
      </w:rPr>
    </w:lvl>
    <w:lvl w:ilvl="1" w:tplc="04180019">
      <w:start w:val="1"/>
      <w:numFmt w:val="lowerLetter"/>
      <w:lvlText w:val="%2."/>
      <w:lvlJc w:val="left"/>
      <w:pPr>
        <w:ind w:left="1440" w:hanging="360"/>
      </w:pPr>
    </w:lvl>
    <w:lvl w:ilvl="2" w:tplc="CD7A6432">
      <w:start w:val="6"/>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846678"/>
    <w:multiLevelType w:val="hybridMultilevel"/>
    <w:tmpl w:val="77961C5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40F1AB1"/>
    <w:multiLevelType w:val="hybridMultilevel"/>
    <w:tmpl w:val="4024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42FB9"/>
    <w:multiLevelType w:val="hybridMultilevel"/>
    <w:tmpl w:val="E1D6722A"/>
    <w:lvl w:ilvl="0" w:tplc="22F2F4A2">
      <w:start w:val="1"/>
      <w:numFmt w:val="decimal"/>
      <w:lvlText w:val="%1."/>
      <w:lvlJc w:val="left"/>
      <w:pPr>
        <w:ind w:left="107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DB94A7D"/>
    <w:multiLevelType w:val="hybridMultilevel"/>
    <w:tmpl w:val="10587806"/>
    <w:lvl w:ilvl="0" w:tplc="04180019">
      <w:start w:val="1"/>
      <w:numFmt w:val="lowerLetter"/>
      <w:lvlText w:val="%1."/>
      <w:lvlJc w:val="left"/>
      <w:pPr>
        <w:ind w:left="99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4483C56"/>
    <w:multiLevelType w:val="hybridMultilevel"/>
    <w:tmpl w:val="EF4CC87C"/>
    <w:lvl w:ilvl="0" w:tplc="A9C691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A3041"/>
    <w:multiLevelType w:val="hybridMultilevel"/>
    <w:tmpl w:val="FAAA12C0"/>
    <w:lvl w:ilvl="0" w:tplc="759E8DAA">
      <w:start w:val="1"/>
      <w:numFmt w:val="lowerLetter"/>
      <w:lvlText w:val="%1)"/>
      <w:lvlJc w:val="left"/>
      <w:pPr>
        <w:ind w:left="99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CF12AB4"/>
    <w:multiLevelType w:val="hybridMultilevel"/>
    <w:tmpl w:val="AE0EF1AC"/>
    <w:lvl w:ilvl="0" w:tplc="06C8A982">
      <w:start w:val="1"/>
      <w:numFmt w:val="decimal"/>
      <w:lvlText w:val="%1."/>
      <w:lvlJc w:val="left"/>
      <w:pPr>
        <w:ind w:left="108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15:restartNumberingAfterBreak="0">
    <w:nsid w:val="777A5311"/>
    <w:multiLevelType w:val="hybridMultilevel"/>
    <w:tmpl w:val="B760689E"/>
    <w:lvl w:ilvl="0" w:tplc="09BCE582">
      <w:start w:val="1"/>
      <w:numFmt w:val="decimal"/>
      <w:lvlText w:val="%1."/>
      <w:lvlJc w:val="left"/>
      <w:pPr>
        <w:tabs>
          <w:tab w:val="num" w:pos="720"/>
        </w:tabs>
        <w:ind w:left="720" w:hanging="360"/>
      </w:pPr>
      <w:rPr>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CE0634A"/>
    <w:multiLevelType w:val="hybridMultilevel"/>
    <w:tmpl w:val="9530CBD8"/>
    <w:lvl w:ilvl="0" w:tplc="0B7276F6">
      <w:start w:val="1"/>
      <w:numFmt w:val="decimal"/>
      <w:lvlText w:val="%1."/>
      <w:lvlJc w:val="left"/>
      <w:pPr>
        <w:tabs>
          <w:tab w:val="num" w:pos="630"/>
        </w:tabs>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6"/>
  </w:num>
  <w:num w:numId="8">
    <w:abstractNumId w:val="5"/>
  </w:num>
  <w:num w:numId="9">
    <w:abstractNumId w:val="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3D"/>
    <w:rsid w:val="000C15D5"/>
    <w:rsid w:val="000E5008"/>
    <w:rsid w:val="00243CA5"/>
    <w:rsid w:val="002C1211"/>
    <w:rsid w:val="002D0470"/>
    <w:rsid w:val="002D6EFE"/>
    <w:rsid w:val="002F50DC"/>
    <w:rsid w:val="002F72A8"/>
    <w:rsid w:val="00322C1D"/>
    <w:rsid w:val="003A085F"/>
    <w:rsid w:val="003B6D64"/>
    <w:rsid w:val="00457B44"/>
    <w:rsid w:val="0046339A"/>
    <w:rsid w:val="004A7EB0"/>
    <w:rsid w:val="00506380"/>
    <w:rsid w:val="00531EB6"/>
    <w:rsid w:val="005A3786"/>
    <w:rsid w:val="005D546B"/>
    <w:rsid w:val="005F39D3"/>
    <w:rsid w:val="00606906"/>
    <w:rsid w:val="006100CA"/>
    <w:rsid w:val="00631C27"/>
    <w:rsid w:val="0068283D"/>
    <w:rsid w:val="006E4724"/>
    <w:rsid w:val="006E5ED5"/>
    <w:rsid w:val="00721DC5"/>
    <w:rsid w:val="00734BAB"/>
    <w:rsid w:val="00743D3E"/>
    <w:rsid w:val="007D21E8"/>
    <w:rsid w:val="007E3C02"/>
    <w:rsid w:val="00846EAB"/>
    <w:rsid w:val="009124EA"/>
    <w:rsid w:val="00A20580"/>
    <w:rsid w:val="00A243F3"/>
    <w:rsid w:val="00A84EDC"/>
    <w:rsid w:val="00AF070C"/>
    <w:rsid w:val="00B004DA"/>
    <w:rsid w:val="00B14DF0"/>
    <w:rsid w:val="00B76BC9"/>
    <w:rsid w:val="00BE519F"/>
    <w:rsid w:val="00C50F69"/>
    <w:rsid w:val="00DC0387"/>
    <w:rsid w:val="00DE6C32"/>
    <w:rsid w:val="00DE7D82"/>
    <w:rsid w:val="00E2240F"/>
    <w:rsid w:val="00E70416"/>
    <w:rsid w:val="00E77B46"/>
    <w:rsid w:val="00E97365"/>
    <w:rsid w:val="00EB42C5"/>
    <w:rsid w:val="00EC52E6"/>
    <w:rsid w:val="00F334E5"/>
    <w:rsid w:val="00FC3B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Words>
  <Characters>7946</Characters>
  <Application>Microsoft Office Word</Application>
  <DocSecurity>0</DocSecurity>
  <Lines>66</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2022-09-07T05:10:00Z</dcterms:created>
  <dcterms:modified xsi:type="dcterms:W3CDTF">2022-09-07T05:10:00Z</dcterms:modified>
</cp:coreProperties>
</file>