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41" w:rsidRPr="00D21644" w:rsidRDefault="00094541" w:rsidP="00094541">
      <w:pPr>
        <w:pStyle w:val="Default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21644">
        <w:rPr>
          <w:rFonts w:ascii="Times New Roman" w:hAnsi="Times New Roman" w:cs="Times New Roman"/>
          <w:bCs/>
          <w:iCs/>
          <w:noProof/>
          <w:sz w:val="28"/>
          <w:szCs w:val="28"/>
          <w:lang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5715</wp:posOffset>
            </wp:positionV>
            <wp:extent cx="5943600" cy="1104900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E05" w:rsidRDefault="00613E05" w:rsidP="0009454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094541" w:rsidRPr="00613E05" w:rsidRDefault="00094541" w:rsidP="0009454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613E05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613E05" w:rsidRPr="00613E05" w:rsidRDefault="00613E05" w:rsidP="00613E05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613E05">
        <w:rPr>
          <w:b/>
          <w:bCs/>
          <w:i/>
          <w:iCs/>
          <w:color w:val="000000"/>
          <w:sz w:val="26"/>
          <w:szCs w:val="26"/>
          <w:lang w:eastAsia="en-US"/>
        </w:rPr>
        <w:t xml:space="preserve">la concursul de promovare în funcția publică de conducere vacantă de </w:t>
      </w:r>
    </w:p>
    <w:p w:rsidR="00613E05" w:rsidRPr="00613E05" w:rsidRDefault="00613E05" w:rsidP="00613E05">
      <w:pPr>
        <w:autoSpaceDE w:val="0"/>
        <w:autoSpaceDN w:val="0"/>
        <w:adjustRightInd w:val="0"/>
        <w:jc w:val="center"/>
        <w:rPr>
          <w:bCs/>
          <w:iCs/>
          <w:color w:val="000000"/>
          <w:sz w:val="26"/>
          <w:szCs w:val="26"/>
          <w:lang w:eastAsia="en-US"/>
        </w:rPr>
      </w:pPr>
      <w:r w:rsidRPr="00613E05">
        <w:rPr>
          <w:b/>
          <w:bCs/>
          <w:i/>
          <w:iCs/>
          <w:color w:val="000000"/>
          <w:sz w:val="26"/>
          <w:szCs w:val="26"/>
          <w:lang w:eastAsia="en-US"/>
        </w:rPr>
        <w:t>Șef Serviciu la Serviciul Contencios din cadrul Direcției Juridice</w:t>
      </w:r>
    </w:p>
    <w:p w:rsidR="00613E05" w:rsidRPr="00613E05" w:rsidRDefault="00613E05" w:rsidP="00613E05">
      <w:pPr>
        <w:autoSpaceDE w:val="0"/>
        <w:autoSpaceDN w:val="0"/>
        <w:adjustRightInd w:val="0"/>
        <w:jc w:val="center"/>
        <w:rPr>
          <w:bCs/>
          <w:iCs/>
          <w:color w:val="000000"/>
          <w:lang w:eastAsia="en-US"/>
        </w:rPr>
      </w:pPr>
    </w:p>
    <w:p w:rsidR="00094541" w:rsidRPr="00D21644" w:rsidRDefault="00094541" w:rsidP="0009454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it-IT"/>
        </w:rPr>
      </w:pP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Constitu</w:t>
      </w:r>
      <w:proofErr w:type="spellStart"/>
      <w:r w:rsidRPr="00D21644">
        <w:t>ția</w:t>
      </w:r>
      <w:proofErr w:type="spellEnd"/>
      <w:r w:rsidRPr="00D21644">
        <w:t xml:space="preserve"> României, republicată;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 xml:space="preserve"> Statutul funcţionarilor publici;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Discriminarea şi hărţuirea morală la locul de muncă;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 xml:space="preserve"> Consiliul Naţional pentru Combaterea Discriminării;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 xml:space="preserve"> Sancţionarea formelor de discriminare;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 xml:space="preserve"> Egalitatea de şanse şi tratament între femei şi bărbaţi în domeniul muncii;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 xml:space="preserve"> Agenţia Naţională pentru Egalitatea de Şanse între Femei şi Bărbaţi;</w:t>
      </w:r>
    </w:p>
    <w:p w:rsidR="008C0918" w:rsidRPr="00492A8F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492A8F">
        <w:rPr>
          <w:lang w:val="it-IT"/>
        </w:rPr>
        <w:t>Soluţionarea sesizărilor şi reclamaţiilor privind discriminarea pe criteriul sex;</w:t>
      </w:r>
    </w:p>
    <w:p w:rsidR="008C0918" w:rsidRPr="00640E5B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D21644">
        <w:t xml:space="preserve"> </w:t>
      </w:r>
      <w:r>
        <w:t xml:space="preserve">Dispoziții generale privind </w:t>
      </w:r>
      <w:r w:rsidRPr="00492A8F">
        <w:rPr>
          <w:rFonts w:eastAsiaTheme="minorHAnsi"/>
          <w:bCs/>
          <w:lang w:eastAsia="en-US"/>
        </w:rPr>
        <w:t xml:space="preserve">administrația  publică locală, </w:t>
      </w:r>
    </w:p>
    <w:p w:rsidR="008C0918" w:rsidRPr="00492A8F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640E5B">
        <w:t>Autorităţile administraţiei publice locale</w:t>
      </w:r>
      <w:r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rFonts w:eastAsiaTheme="minorHAnsi"/>
          <w:bCs/>
          <w:lang w:eastAsia="en-US"/>
        </w:rPr>
        <w:t xml:space="preserve">Dispoziții generale privind </w:t>
      </w:r>
      <w:r w:rsidRPr="00492A8F">
        <w:rPr>
          <w:rFonts w:eastAsiaTheme="minorHAnsi"/>
          <w:bCs/>
          <w:lang w:eastAsia="en-US"/>
        </w:rPr>
        <w:t>răspunderea administrativă</w:t>
      </w:r>
      <w:r w:rsidRPr="00D21644"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răspunderea administrativ-disciplinară;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răspunderea administrativ-patrimonială;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Acțiunea civilă;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Actele de procedură;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Termenele procedurale;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Procedura în fața primei instanțe;</w:t>
      </w:r>
    </w:p>
    <w:p w:rsidR="008C05D7" w:rsidRDefault="008C05D7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Excepțiile privind condițiile de exercitare a acțiunii civile;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Autoritatea și puterea de lucru judecat;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generale privind executarea silită;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generale privind d</w:t>
      </w:r>
      <w:r w:rsidRPr="00536E80">
        <w:t>repturile reale corespunzătoare proprietăţii publice</w:t>
      </w:r>
      <w:r>
        <w:t>;</w:t>
      </w:r>
    </w:p>
    <w:p w:rsidR="008C0918" w:rsidRDefault="008C05D7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faptul juridic licit</w:t>
      </w:r>
      <w:r w:rsidR="008C0918"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prescriptibilitatea și imprescriptibilitatea dreptului la acțiune;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Invocarea prescripției de partea interesată;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Excepția de nelegalitate;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p</w:t>
      </w:r>
      <w:r w:rsidRPr="00FB4DA1">
        <w:t>rocedura de soluţionare a cererilor în contenciosul administrativ</w:t>
      </w:r>
      <w:r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Suspendarea executării actului;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Recursul în materia contenciosului-administrativ;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Instanța de executare în materia contenciosului administrativ;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</w:t>
      </w:r>
      <w:r w:rsidR="008C05D7">
        <w:t xml:space="preserve"> privind</w:t>
      </w:r>
      <w:r>
        <w:t xml:space="preserve"> </w:t>
      </w:r>
      <w:r>
        <w:rPr>
          <w:color w:val="212529"/>
        </w:rPr>
        <w:t>a</w:t>
      </w:r>
      <w:r w:rsidRPr="00A62DF9">
        <w:rPr>
          <w:color w:val="212529"/>
        </w:rPr>
        <w:t>utorizarea executării lucrărilor de construcții</w:t>
      </w:r>
      <w:r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procedurale privind soluționarea contestațiilor formulate în baza Legii nr.18/1991;</w:t>
      </w:r>
    </w:p>
    <w:p w:rsidR="00613E05" w:rsidRDefault="00613E05" w:rsidP="00613E05">
      <w:pPr>
        <w:spacing w:before="240" w:line="276" w:lineRule="auto"/>
        <w:jc w:val="both"/>
      </w:pP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3C7265">
        <w:lastRenderedPageBreak/>
        <w:t>Normele de tehnică legislativă: motivarea proiectelor de acte normative, redactarea actelor normative, structura acului normativ, modificarea, completarea, abrogarea și alte evenimente legislative; norme cu privire la actele normative adoptate de autoritățile administrației publice locale</w:t>
      </w:r>
      <w:r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Transparenta decizională;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 w:rsidRPr="00923350">
        <w:t>Soluționarea litigiilor în materie de achiziție publică în fața instanțelor de judecată</w:t>
      </w:r>
      <w:r>
        <w:t>;</w:t>
      </w:r>
    </w:p>
    <w:p w:rsidR="008C0918" w:rsidRPr="00BD42CD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bCs/>
          <w:lang w:eastAsia="en-US"/>
        </w:rPr>
        <w:t>Dispoziții privind i</w:t>
      </w:r>
      <w:r w:rsidRPr="00A62DF9">
        <w:rPr>
          <w:bCs/>
          <w:lang w:eastAsia="en-US"/>
        </w:rPr>
        <w:t>ncompatibilităţile aleşilor locali şi conflictul de interese</w:t>
      </w:r>
      <w:r>
        <w:rPr>
          <w:bCs/>
          <w:lang w:eastAsia="en-US"/>
        </w:rPr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accesul</w:t>
      </w:r>
      <w:r w:rsidRPr="00D21644">
        <w:t xml:space="preserve"> la informaţiile de interes public</w:t>
      </w:r>
      <w:r>
        <w:t>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t>Dispoziții privind jurisdicția muncii;</w:t>
      </w:r>
    </w:p>
    <w:p w:rsidR="008C0918" w:rsidRPr="00000BB7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color w:val="212529"/>
        </w:rPr>
        <w:t xml:space="preserve">Dispoziții privind </w:t>
      </w:r>
      <w:proofErr w:type="spellStart"/>
      <w:r>
        <w:rPr>
          <w:color w:val="212529"/>
        </w:rPr>
        <w:t>protectia</w:t>
      </w:r>
      <w:proofErr w:type="spellEnd"/>
      <w:r>
        <w:rPr>
          <w:color w:val="212529"/>
        </w:rPr>
        <w:t xml:space="preserve"> persoanelor fizice în ceea ce priveș</w:t>
      </w:r>
      <w:r w:rsidRPr="00A62DF9">
        <w:rPr>
          <w:color w:val="212529"/>
        </w:rPr>
        <w:t xml:space="preserve">te </w:t>
      </w:r>
      <w:proofErr w:type="spellStart"/>
      <w:r w:rsidRPr="00A62DF9">
        <w:rPr>
          <w:color w:val="212529"/>
        </w:rPr>
        <w:t>prelucarea</w:t>
      </w:r>
      <w:proofErr w:type="spellEnd"/>
      <w:r w:rsidRPr="00A62DF9">
        <w:rPr>
          <w:color w:val="212529"/>
        </w:rPr>
        <w:t xml:space="preserve"> datel</w:t>
      </w:r>
      <w:r>
        <w:rPr>
          <w:color w:val="212529"/>
        </w:rPr>
        <w:t>or cu caracter personal ș</w:t>
      </w:r>
      <w:r w:rsidRPr="00A62DF9">
        <w:rPr>
          <w:color w:val="212529"/>
        </w:rPr>
        <w:t>i privind l</w:t>
      </w:r>
      <w:r>
        <w:rPr>
          <w:color w:val="212529"/>
        </w:rPr>
        <w:t xml:space="preserve">ibera </w:t>
      </w:r>
      <w:proofErr w:type="spellStart"/>
      <w:r>
        <w:rPr>
          <w:color w:val="212529"/>
        </w:rPr>
        <w:t>circulatie</w:t>
      </w:r>
      <w:proofErr w:type="spellEnd"/>
      <w:r>
        <w:rPr>
          <w:color w:val="212529"/>
        </w:rPr>
        <w:t xml:space="preserve"> a acestor date;</w:t>
      </w:r>
    </w:p>
    <w:p w:rsidR="008C0918" w:rsidRDefault="008C0918" w:rsidP="00613E05">
      <w:pPr>
        <w:pStyle w:val="Listparagraf"/>
        <w:numPr>
          <w:ilvl w:val="0"/>
          <w:numId w:val="1"/>
        </w:numPr>
        <w:spacing w:before="240" w:line="276" w:lineRule="auto"/>
        <w:jc w:val="both"/>
      </w:pPr>
      <w:r>
        <w:rPr>
          <w:color w:val="212529"/>
        </w:rPr>
        <w:t>Atribuțiile Serviciului Contencios din cadrul Direcției Juridice.</w:t>
      </w:r>
    </w:p>
    <w:p w:rsidR="00860C8B" w:rsidRPr="00D21644" w:rsidRDefault="00860C8B" w:rsidP="00613E05">
      <w:pPr>
        <w:autoSpaceDE w:val="0"/>
        <w:autoSpaceDN w:val="0"/>
        <w:adjustRightInd w:val="0"/>
        <w:spacing w:line="276" w:lineRule="auto"/>
        <w:jc w:val="both"/>
      </w:pPr>
    </w:p>
    <w:p w:rsidR="00094541" w:rsidRPr="00D21644" w:rsidRDefault="00094541" w:rsidP="00094541">
      <w:pPr>
        <w:autoSpaceDE w:val="0"/>
        <w:autoSpaceDN w:val="0"/>
        <w:adjustRightInd w:val="0"/>
        <w:spacing w:line="276" w:lineRule="auto"/>
        <w:jc w:val="both"/>
        <w:rPr>
          <w:lang w:val="it-IT"/>
        </w:rPr>
      </w:pPr>
    </w:p>
    <w:p w:rsidR="008C05D7" w:rsidRPr="00144B65" w:rsidRDefault="00094541" w:rsidP="008C05D7">
      <w:pPr>
        <w:rPr>
          <w:i/>
          <w:lang w:val="it-IT"/>
        </w:rPr>
      </w:pPr>
      <w:r w:rsidRPr="00D21644">
        <w:rPr>
          <w:sz w:val="28"/>
          <w:szCs w:val="28"/>
        </w:rPr>
        <w:t xml:space="preserve">   </w:t>
      </w:r>
    </w:p>
    <w:sectPr w:rsidR="008C05D7" w:rsidRPr="00144B65" w:rsidSect="00613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567" w:left="1304" w:header="709" w:footer="709" w:gutter="0"/>
      <w:cols w:space="720"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248" w:rsidRDefault="00B34248" w:rsidP="007D48F7">
      <w:r>
        <w:separator/>
      </w:r>
    </w:p>
  </w:endnote>
  <w:endnote w:type="continuationSeparator" w:id="0">
    <w:p w:rsidR="00B34248" w:rsidRDefault="00B34248" w:rsidP="007D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248" w:rsidRDefault="00B34248" w:rsidP="007D48F7">
      <w:r>
        <w:separator/>
      </w:r>
    </w:p>
  </w:footnote>
  <w:footnote w:type="continuationSeparator" w:id="0">
    <w:p w:rsidR="00B34248" w:rsidRDefault="00B34248" w:rsidP="007D4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Ante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F7" w:rsidRDefault="007D48F7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5050"/>
    <w:multiLevelType w:val="hybridMultilevel"/>
    <w:tmpl w:val="10643844"/>
    <w:lvl w:ilvl="0" w:tplc="D11CD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94541"/>
    <w:rsid w:val="00064D76"/>
    <w:rsid w:val="00094541"/>
    <w:rsid w:val="001474E6"/>
    <w:rsid w:val="001A2A07"/>
    <w:rsid w:val="001E511B"/>
    <w:rsid w:val="0021448B"/>
    <w:rsid w:val="002A3CED"/>
    <w:rsid w:val="002B784B"/>
    <w:rsid w:val="002F3E9D"/>
    <w:rsid w:val="00300AAF"/>
    <w:rsid w:val="003F7696"/>
    <w:rsid w:val="00483DC4"/>
    <w:rsid w:val="00613E05"/>
    <w:rsid w:val="00655732"/>
    <w:rsid w:val="0070510B"/>
    <w:rsid w:val="00784B91"/>
    <w:rsid w:val="007D48F7"/>
    <w:rsid w:val="007E207E"/>
    <w:rsid w:val="008162D4"/>
    <w:rsid w:val="00860C8B"/>
    <w:rsid w:val="008971BF"/>
    <w:rsid w:val="008C05D7"/>
    <w:rsid w:val="008C0918"/>
    <w:rsid w:val="00922101"/>
    <w:rsid w:val="00923350"/>
    <w:rsid w:val="009B423D"/>
    <w:rsid w:val="00AF07DB"/>
    <w:rsid w:val="00B3356C"/>
    <w:rsid w:val="00B34248"/>
    <w:rsid w:val="00B46468"/>
    <w:rsid w:val="00B46F0E"/>
    <w:rsid w:val="00BB0EF6"/>
    <w:rsid w:val="00C13F62"/>
    <w:rsid w:val="00C47A0D"/>
    <w:rsid w:val="00CC5260"/>
    <w:rsid w:val="00CF05A4"/>
    <w:rsid w:val="00D21644"/>
    <w:rsid w:val="00F1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9454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7D48F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48F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7D48F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48F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2B7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2022-08-29T12:09:00Z</dcterms:created>
  <dcterms:modified xsi:type="dcterms:W3CDTF">2022-09-29T08:22:00Z</dcterms:modified>
</cp:coreProperties>
</file>