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B1" w:rsidRPr="00FC5706" w:rsidRDefault="00FC5706" w:rsidP="00FC5706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FC5706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138430</wp:posOffset>
            </wp:positionH>
            <wp:positionV relativeFrom="margin">
              <wp:posOffset>-524510</wp:posOffset>
            </wp:positionV>
            <wp:extent cx="5943600" cy="110553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2B1" w:rsidRPr="002A5562" w:rsidRDefault="003C32B1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2A5562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18612C" w:rsidRPr="00A014C2" w:rsidRDefault="0018612C" w:rsidP="00186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</w:rPr>
      </w:pPr>
      <w:r w:rsidRPr="00F67046">
        <w:rPr>
          <w:b/>
          <w:bCs/>
          <w:i/>
          <w:iCs/>
          <w:color w:val="000000"/>
          <w:sz w:val="26"/>
          <w:szCs w:val="26"/>
        </w:rPr>
        <w:t xml:space="preserve">la concursul </w:t>
      </w:r>
      <w:r>
        <w:rPr>
          <w:b/>
          <w:bCs/>
          <w:i/>
          <w:iCs/>
          <w:color w:val="000000"/>
          <w:sz w:val="26"/>
          <w:szCs w:val="26"/>
        </w:rPr>
        <w:t>d</w:t>
      </w:r>
      <w:r w:rsidR="00D26DAB">
        <w:rPr>
          <w:b/>
          <w:bCs/>
          <w:i/>
          <w:iCs/>
          <w:color w:val="000000"/>
          <w:sz w:val="26"/>
          <w:szCs w:val="26"/>
        </w:rPr>
        <w:t>e promovare în grad profesional</w:t>
      </w:r>
      <w:r>
        <w:rPr>
          <w:b/>
          <w:bCs/>
          <w:i/>
          <w:iCs/>
          <w:color w:val="000000"/>
          <w:sz w:val="26"/>
          <w:szCs w:val="26"/>
        </w:rPr>
        <w:t>, în funcţia publică de referent superior,</w:t>
      </w:r>
      <w:r w:rsidRPr="00F67046">
        <w:rPr>
          <w:b/>
          <w:bCs/>
          <w:i/>
          <w:iCs/>
          <w:color w:val="000000"/>
          <w:sz w:val="26"/>
          <w:szCs w:val="26"/>
        </w:rPr>
        <w:t xml:space="preserve"> la </w:t>
      </w:r>
      <w:r>
        <w:rPr>
          <w:b/>
          <w:bCs/>
          <w:i/>
          <w:iCs/>
          <w:color w:val="000000"/>
          <w:sz w:val="26"/>
          <w:szCs w:val="26"/>
        </w:rPr>
        <w:t>Compartimentul Minorităţi - Serviciul Relaţii cu Societatea Civilă şi Mediul de Afaceri</w:t>
      </w:r>
    </w:p>
    <w:p w:rsidR="005E77A7" w:rsidRPr="003C32B1" w:rsidRDefault="005E77A7" w:rsidP="00186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  <w:lang w:val="en-US"/>
        </w:rPr>
      </w:pPr>
      <w:r>
        <w:rPr>
          <w:b/>
          <w:lang w:val="it-IT"/>
        </w:rPr>
        <w:t>1</w:t>
      </w:r>
      <w:r w:rsidRPr="005E77A7">
        <w:rPr>
          <w:b/>
          <w:lang w:val="it-IT"/>
        </w:rPr>
        <w:t>. Constitu</w:t>
      </w:r>
      <w:proofErr w:type="spellStart"/>
      <w:r w:rsidR="00237485">
        <w:rPr>
          <w:b/>
        </w:rPr>
        <w:t>ţ</w:t>
      </w:r>
      <w:r w:rsidRPr="005E77A7">
        <w:rPr>
          <w:b/>
        </w:rPr>
        <w:t>ia</w:t>
      </w:r>
      <w:proofErr w:type="spellEnd"/>
      <w:r w:rsidRPr="005E77A7">
        <w:rPr>
          <w:b/>
        </w:rPr>
        <w:t xml:space="preserve"> României, republicată</w:t>
      </w:r>
      <w:r w:rsidRPr="005E77A7">
        <w:rPr>
          <w:b/>
          <w:lang w:val="en-US"/>
        </w:rPr>
        <w:t>.</w:t>
      </w:r>
    </w:p>
    <w:p w:rsidR="005E77A7" w:rsidRPr="005E77A7" w:rsidRDefault="005E77A7" w:rsidP="005E77A7">
      <w:pPr>
        <w:spacing w:line="276" w:lineRule="auto"/>
        <w:ind w:left="567" w:right="-284"/>
        <w:jc w:val="both"/>
        <w:rPr>
          <w:lang w:val="it-IT"/>
        </w:rPr>
      </w:pPr>
      <w:r w:rsidRPr="005E77A7">
        <w:rPr>
          <w:lang w:val="it-IT"/>
        </w:rPr>
        <w:t>Drepturile, libertățile și îndatoririle fundamentale</w:t>
      </w:r>
      <w:r>
        <w:rPr>
          <w:lang w:val="it-IT"/>
        </w:rP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  <w:rPr>
          <w:lang w:val="it-IT"/>
        </w:rPr>
      </w:pPr>
      <w:r w:rsidRPr="005E77A7">
        <w:rPr>
          <w:lang w:val="it-IT"/>
        </w:rPr>
        <w:t>Administrația publică locală</w:t>
      </w:r>
      <w:r>
        <w:rPr>
          <w:lang w:val="it-IT"/>
        </w:rPr>
        <w:t>;</w:t>
      </w:r>
    </w:p>
    <w:p w:rsidR="000E2B54" w:rsidRPr="000E2B54" w:rsidRDefault="005E77A7" w:rsidP="000E2B54">
      <w:pPr>
        <w:spacing w:line="276" w:lineRule="auto"/>
        <w:ind w:left="-284" w:right="-284"/>
        <w:jc w:val="both"/>
        <w:rPr>
          <w:b/>
          <w:lang w:val="it-IT"/>
        </w:rPr>
      </w:pPr>
      <w:r w:rsidRPr="005E77A7">
        <w:rPr>
          <w:b/>
          <w:lang w:val="it-IT"/>
        </w:rPr>
        <w:t xml:space="preserve">2. </w:t>
      </w:r>
      <w:r w:rsidR="000E2B54" w:rsidRPr="000E2B54">
        <w:rPr>
          <w:b/>
          <w:lang w:val="it-IT"/>
        </w:rPr>
        <w:t xml:space="preserve">Ordonanța  de  Urgență  nr. 57/2019  privind  Codul  administrativ,  cu  modificările  și </w:t>
      </w:r>
    </w:p>
    <w:p w:rsidR="000E2B54" w:rsidRDefault="000E2B54" w:rsidP="000E2B54">
      <w:pPr>
        <w:spacing w:line="276" w:lineRule="auto"/>
        <w:ind w:left="-284" w:right="-284"/>
        <w:jc w:val="both"/>
        <w:rPr>
          <w:b/>
          <w:lang w:val="it-IT"/>
        </w:rPr>
      </w:pPr>
      <w:r w:rsidRPr="000E2B54">
        <w:rPr>
          <w:b/>
          <w:lang w:val="it-IT"/>
        </w:rPr>
        <w:t>completări</w:t>
      </w:r>
      <w:r>
        <w:rPr>
          <w:b/>
          <w:lang w:val="it-IT"/>
        </w:rPr>
        <w:t>le ulterioare.</w:t>
      </w:r>
    </w:p>
    <w:p w:rsidR="005E77A7" w:rsidRPr="005E77A7" w:rsidRDefault="000E2B54" w:rsidP="000E2B54">
      <w:pPr>
        <w:spacing w:line="276" w:lineRule="auto"/>
        <w:ind w:left="-284" w:right="-284"/>
        <w:jc w:val="both"/>
      </w:pPr>
      <w:r>
        <w:rPr>
          <w:b/>
          <w:lang w:val="it-IT"/>
        </w:rPr>
        <w:tab/>
        <w:t xml:space="preserve">          </w:t>
      </w:r>
      <w:r w:rsidR="004647E6">
        <w:t>Dispoziții generale</w:t>
      </w:r>
      <w:r w:rsidR="005E77A7" w:rsidRPr="005E77A7">
        <w:t>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Statutul funcţionarilor publici</w:t>
      </w:r>
      <w: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  <w:lang w:val="it-IT"/>
        </w:rPr>
      </w:pPr>
      <w:r w:rsidRPr="005E77A7">
        <w:rPr>
          <w:b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Discriminarea şi hărţuirea morală la locul de muncă</w:t>
      </w:r>
      <w: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Consiliul Naţional pentru Combaterea Discriminării</w:t>
      </w:r>
      <w: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Sancţionarea formelor de discriminare</w:t>
      </w:r>
      <w: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</w:rPr>
      </w:pPr>
      <w:r w:rsidRPr="005E77A7">
        <w:rPr>
          <w:b/>
        </w:rPr>
        <w:t>4. Legea nr. 202/2002 privind egalitatea de şanse şi tratament între femei şi bărbaţi, republicată, cu modificările şi completările ulterioare.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Egalitatea de şanse şi tratament între femei şi bărbaţi în domeniul muncii</w:t>
      </w:r>
      <w:r>
        <w:t>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Agenţia Naţională pentru Egalitatea de Şanse între Femei şi Bărbaţi</w:t>
      </w:r>
      <w:r>
        <w:t>;</w:t>
      </w:r>
    </w:p>
    <w:p w:rsidR="001713F1" w:rsidRPr="005E77A7" w:rsidRDefault="005E77A7" w:rsidP="001713F1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Soluţionarea sesizărilor şi reclamaţiilor privind discriminarea pe criteriul sex</w:t>
      </w:r>
      <w:r>
        <w:t>;</w:t>
      </w:r>
    </w:p>
    <w:p w:rsidR="00F468F0" w:rsidRDefault="00F468F0" w:rsidP="005E77A7">
      <w:pPr>
        <w:spacing w:line="276" w:lineRule="auto"/>
        <w:ind w:left="-284" w:right="-284"/>
        <w:jc w:val="both"/>
      </w:pPr>
      <w:r>
        <w:t xml:space="preserve"> </w:t>
      </w:r>
      <w:r w:rsidR="001713F1" w:rsidRPr="001713F1">
        <w:rPr>
          <w:b/>
        </w:rPr>
        <w:t>5</w:t>
      </w:r>
      <w:r w:rsidR="001713F1">
        <w:t>.</w:t>
      </w:r>
      <w:r w:rsidRPr="004C4382">
        <w:rPr>
          <w:b/>
        </w:rPr>
        <w:t>LEGE nr. 116</w:t>
      </w:r>
      <w:r w:rsidR="0018612C">
        <w:rPr>
          <w:b/>
        </w:rPr>
        <w:t>/</w:t>
      </w:r>
      <w:r w:rsidRPr="004C4382">
        <w:rPr>
          <w:b/>
        </w:rPr>
        <w:t xml:space="preserve"> 2002</w:t>
      </w:r>
      <w:r>
        <w:t xml:space="preserve"> </w:t>
      </w:r>
      <w:r w:rsidRPr="004C4382">
        <w:t>privind prevenirea si co</w:t>
      </w:r>
      <w:r>
        <w:t>mbaterea marginaliz</w:t>
      </w:r>
      <w:r w:rsidR="0018612C">
        <w:t>ă</w:t>
      </w:r>
      <w:r>
        <w:t xml:space="preserve">rii sociale </w:t>
      </w:r>
      <w:r w:rsidR="0018612C">
        <w:t>, cu modificările şi completările ulterioare</w:t>
      </w:r>
    </w:p>
    <w:p w:rsidR="00F468F0" w:rsidRDefault="00F468F0" w:rsidP="00F468F0">
      <w:pPr>
        <w:spacing w:line="276" w:lineRule="auto"/>
        <w:ind w:left="-284" w:right="-284"/>
        <w:jc w:val="both"/>
      </w:pPr>
      <w:r>
        <w:rPr>
          <w:b/>
        </w:rPr>
        <w:t xml:space="preserve">              </w:t>
      </w:r>
      <w:r>
        <w:t>SECTI</w:t>
      </w:r>
      <w:r w:rsidRPr="00F468F0">
        <w:t>UNEA a 3-a</w:t>
      </w:r>
      <w:r>
        <w:t>-</w:t>
      </w:r>
      <w:r w:rsidRPr="00F468F0">
        <w:t xml:space="preserve"> Accesul la asistenta de sănătate</w:t>
      </w:r>
    </w:p>
    <w:p w:rsidR="00F468F0" w:rsidRDefault="00F468F0" w:rsidP="00F468F0">
      <w:pPr>
        <w:spacing w:line="276" w:lineRule="auto"/>
        <w:ind w:left="-284" w:right="-284"/>
        <w:jc w:val="both"/>
      </w:pPr>
      <w:r>
        <w:t xml:space="preserve">              SECTIUNEA a 4-a -</w:t>
      </w:r>
      <w:r w:rsidR="0018612C">
        <w:t xml:space="preserve"> </w:t>
      </w:r>
      <w:r>
        <w:t>Accesul la educ</w:t>
      </w:r>
      <w:r w:rsidR="0018612C">
        <w:t>aţ</w:t>
      </w:r>
      <w:r>
        <w:t>ie</w:t>
      </w:r>
    </w:p>
    <w:p w:rsidR="00F468F0" w:rsidRDefault="001713F1" w:rsidP="00F468F0">
      <w:pPr>
        <w:ind w:left="-284" w:right="-284"/>
        <w:jc w:val="both"/>
      </w:pPr>
      <w:r w:rsidRPr="001713F1">
        <w:rPr>
          <w:b/>
        </w:rPr>
        <w:t>6</w:t>
      </w:r>
      <w:r w:rsidR="00F468F0">
        <w:t xml:space="preserve">. </w:t>
      </w:r>
      <w:r w:rsidR="00F468F0" w:rsidRPr="000C6F93">
        <w:rPr>
          <w:b/>
        </w:rPr>
        <w:t>HOTĂRÂRE  Nr. 560/2022</w:t>
      </w:r>
      <w:r w:rsidR="00F468F0" w:rsidRPr="000C6F93">
        <w:t xml:space="preserve"> din 28 aprilie 2022 pentru aprobarea Strategiei Guvernului României de incluziune a cetăţenilor români aparţinând minorităţii rome pentru perioada 2022 - 2027 </w:t>
      </w:r>
    </w:p>
    <w:p w:rsidR="00F468F0" w:rsidRDefault="00F468F0" w:rsidP="00F468F0">
      <w:pPr>
        <w:ind w:left="-284" w:right="-284"/>
        <w:jc w:val="both"/>
      </w:pPr>
      <w:r>
        <w:t xml:space="preserve">               </w:t>
      </w:r>
      <w:r w:rsidRPr="00F468F0">
        <w:t xml:space="preserve"> </w:t>
      </w:r>
      <w:r w:rsidR="002E5CF9" w:rsidRPr="002E5CF9">
        <w:t>ANEXA 7 - Cadrul instituțional de implementare a Strategiei</w:t>
      </w:r>
      <w:r w:rsidR="0018612C">
        <w:t xml:space="preserve"> </w:t>
      </w:r>
      <w:r w:rsidR="002E5CF9">
        <w:t xml:space="preserve">- </w:t>
      </w:r>
      <w:r w:rsidR="002E5CF9">
        <w:rPr>
          <w:rFonts w:ascii="ArialMT" w:eastAsiaTheme="minorHAnsi" w:hAnsi="ArialMT" w:cs="ArialMT"/>
          <w:sz w:val="16"/>
          <w:szCs w:val="16"/>
          <w:lang w:val="en-US" w:eastAsia="en-US"/>
        </w:rPr>
        <w:t xml:space="preserve"> </w:t>
      </w:r>
      <w:r w:rsidRPr="00F468F0">
        <w:t>Expertul local pentru romi de</w:t>
      </w:r>
      <w:r w:rsidR="002E5CF9">
        <w:t xml:space="preserve"> </w:t>
      </w:r>
      <w:r w:rsidRPr="00F468F0">
        <w:t>la nivelul primăriilor</w:t>
      </w:r>
      <w:r>
        <w:t xml:space="preserve">  </w:t>
      </w:r>
    </w:p>
    <w:p w:rsidR="002E5CF9" w:rsidRDefault="002E5CF9" w:rsidP="00F468F0">
      <w:pPr>
        <w:ind w:left="-284" w:right="-284"/>
        <w:jc w:val="both"/>
      </w:pPr>
      <w:r>
        <w:t xml:space="preserve">                </w:t>
      </w:r>
      <w:r w:rsidRPr="002E5CF9">
        <w:t>Descrierea procesului de coordonare metodologică a activităţilor la nivel local</w:t>
      </w:r>
    </w:p>
    <w:p w:rsidR="002E5CF9" w:rsidRDefault="002E5CF9" w:rsidP="00F468F0">
      <w:pPr>
        <w:ind w:left="-284" w:right="-284"/>
        <w:jc w:val="both"/>
      </w:pPr>
      <w:r>
        <w:t xml:space="preserve">                </w:t>
      </w:r>
      <w:r w:rsidRPr="002E5CF9">
        <w:t>Instituții, structuri și responsabilități instituționale în implementarea Strategiei</w:t>
      </w:r>
    </w:p>
    <w:p w:rsidR="001713F1" w:rsidRDefault="001713F1" w:rsidP="001713F1">
      <w:pPr>
        <w:spacing w:line="276" w:lineRule="auto"/>
        <w:ind w:left="-284" w:right="-284"/>
        <w:jc w:val="both"/>
        <w:rPr>
          <w:b/>
        </w:rPr>
      </w:pPr>
      <w:r>
        <w:rPr>
          <w:b/>
        </w:rPr>
        <w:t xml:space="preserve">7. </w:t>
      </w:r>
      <w:r w:rsidRPr="005E77A7">
        <w:rPr>
          <w:b/>
        </w:rPr>
        <w:t xml:space="preserve">Atribuţiile </w:t>
      </w:r>
      <w:r w:rsidR="0018612C">
        <w:rPr>
          <w:b/>
        </w:rPr>
        <w:t>Compartimentului Minorităţi</w:t>
      </w:r>
      <w:r w:rsidR="0018612C" w:rsidRPr="005E77A7">
        <w:rPr>
          <w:b/>
        </w:rPr>
        <w:t xml:space="preserve"> </w:t>
      </w:r>
      <w:r w:rsidR="0018612C">
        <w:rPr>
          <w:b/>
        </w:rPr>
        <w:t xml:space="preserve">din cadrul </w:t>
      </w:r>
      <w:r w:rsidRPr="005E77A7">
        <w:rPr>
          <w:b/>
        </w:rPr>
        <w:t>Serv</w:t>
      </w:r>
      <w:r w:rsidR="00703219">
        <w:rPr>
          <w:b/>
        </w:rPr>
        <w:t>iciului Relaţii cu Societatea Civila si Mediul de Afaceri</w:t>
      </w:r>
      <w:r>
        <w:rPr>
          <w:b/>
        </w:rPr>
        <w:t xml:space="preserve"> </w:t>
      </w:r>
      <w:r w:rsidR="00703219">
        <w:rPr>
          <w:b/>
        </w:rPr>
        <w:t>–</w:t>
      </w:r>
      <w:r>
        <w:rPr>
          <w:b/>
        </w:rPr>
        <w:t>Direcți</w:t>
      </w:r>
      <w:r w:rsidR="0018612C">
        <w:rPr>
          <w:b/>
        </w:rPr>
        <w:t xml:space="preserve">a </w:t>
      </w:r>
      <w:r w:rsidR="00703219">
        <w:rPr>
          <w:b/>
        </w:rPr>
        <w:t xml:space="preserve">Relaţii Comunitare </w:t>
      </w:r>
      <w:r>
        <w:rPr>
          <w:b/>
        </w:rPr>
        <w:t>conform ROF.</w:t>
      </w:r>
    </w:p>
    <w:p w:rsidR="00703219" w:rsidRDefault="00703219" w:rsidP="00703219">
      <w:pPr>
        <w:ind w:left="-284" w:right="-284"/>
        <w:jc w:val="both"/>
      </w:pPr>
    </w:p>
    <w:p w:rsidR="00F468F0" w:rsidRPr="00F468F0" w:rsidRDefault="00F468F0" w:rsidP="00F468F0">
      <w:pPr>
        <w:spacing w:line="276" w:lineRule="auto"/>
        <w:ind w:left="-284" w:right="-284"/>
        <w:jc w:val="both"/>
      </w:pPr>
    </w:p>
    <w:p w:rsidR="00BD0198" w:rsidRDefault="00BD0198" w:rsidP="00BD0198">
      <w:pPr>
        <w:pStyle w:val="Listparagraf"/>
        <w:autoSpaceDE w:val="0"/>
        <w:autoSpaceDN w:val="0"/>
        <w:adjustRightInd w:val="0"/>
        <w:spacing w:after="0" w:line="264" w:lineRule="auto"/>
        <w:ind w:left="64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8612C" w:rsidRPr="00B819E1" w:rsidRDefault="00BD0198" w:rsidP="00F75594">
      <w:pPr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 w:rsidR="0018612C">
        <w:rPr>
          <w:b/>
          <w:sz w:val="26"/>
          <w:szCs w:val="26"/>
        </w:rPr>
        <w:tab/>
        <w:t xml:space="preserve">  </w:t>
      </w:r>
    </w:p>
    <w:p w:rsidR="00BD0198" w:rsidRPr="00BD0198" w:rsidRDefault="00BD0198" w:rsidP="0018612C">
      <w:pPr>
        <w:rPr>
          <w:b/>
          <w:i/>
        </w:rPr>
      </w:pPr>
    </w:p>
    <w:sectPr w:rsidR="00BD0198" w:rsidRPr="00BD0198" w:rsidSect="005B0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36" w:rsidRDefault="00C44B36" w:rsidP="001E734D">
      <w:r>
        <w:separator/>
      </w:r>
    </w:p>
  </w:endnote>
  <w:endnote w:type="continuationSeparator" w:id="0">
    <w:p w:rsidR="00C44B36" w:rsidRDefault="00C44B36" w:rsidP="001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4D" w:rsidRDefault="001E734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4D" w:rsidRDefault="001E734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4D" w:rsidRDefault="001E734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36" w:rsidRDefault="00C44B36" w:rsidP="001E734D">
      <w:r>
        <w:separator/>
      </w:r>
    </w:p>
  </w:footnote>
  <w:footnote w:type="continuationSeparator" w:id="0">
    <w:p w:rsidR="00C44B36" w:rsidRDefault="00C44B36" w:rsidP="001E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4D" w:rsidRDefault="001E734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4D" w:rsidRDefault="001E734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4D" w:rsidRDefault="001E73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B051B7"/>
    <w:multiLevelType w:val="hybridMultilevel"/>
    <w:tmpl w:val="9C529A52"/>
    <w:lvl w:ilvl="0" w:tplc="AC2A3D42">
      <w:start w:val="1"/>
      <w:numFmt w:val="lowerLetter"/>
      <w:lvlText w:val="%1)"/>
      <w:lvlJc w:val="left"/>
      <w:pPr>
        <w:ind w:left="1441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1B16083"/>
    <w:multiLevelType w:val="hybridMultilevel"/>
    <w:tmpl w:val="88A6DA32"/>
    <w:lvl w:ilvl="0" w:tplc="04090017">
      <w:start w:val="1"/>
      <w:numFmt w:val="lowerLetter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F8C"/>
    <w:rsid w:val="000723D8"/>
    <w:rsid w:val="000E2B54"/>
    <w:rsid w:val="001713F1"/>
    <w:rsid w:val="001828F5"/>
    <w:rsid w:val="0018612C"/>
    <w:rsid w:val="001E734D"/>
    <w:rsid w:val="00237485"/>
    <w:rsid w:val="00257BFC"/>
    <w:rsid w:val="002A5562"/>
    <w:rsid w:val="002E5CF9"/>
    <w:rsid w:val="00356549"/>
    <w:rsid w:val="003C32B1"/>
    <w:rsid w:val="004647E6"/>
    <w:rsid w:val="005B098D"/>
    <w:rsid w:val="005B38D2"/>
    <w:rsid w:val="005E77A7"/>
    <w:rsid w:val="0064626B"/>
    <w:rsid w:val="006E0F8C"/>
    <w:rsid w:val="00703219"/>
    <w:rsid w:val="0074525C"/>
    <w:rsid w:val="007D2D3C"/>
    <w:rsid w:val="008A2D67"/>
    <w:rsid w:val="008E77E9"/>
    <w:rsid w:val="00992A64"/>
    <w:rsid w:val="00994962"/>
    <w:rsid w:val="009E26FD"/>
    <w:rsid w:val="00AC14F7"/>
    <w:rsid w:val="00AE21AB"/>
    <w:rsid w:val="00B6207D"/>
    <w:rsid w:val="00BA4E16"/>
    <w:rsid w:val="00BD0198"/>
    <w:rsid w:val="00C3042E"/>
    <w:rsid w:val="00C44B36"/>
    <w:rsid w:val="00D26DAB"/>
    <w:rsid w:val="00D30542"/>
    <w:rsid w:val="00D54A96"/>
    <w:rsid w:val="00D7569A"/>
    <w:rsid w:val="00EC29A6"/>
    <w:rsid w:val="00ED3FC9"/>
    <w:rsid w:val="00F468F0"/>
    <w:rsid w:val="00F75594"/>
    <w:rsid w:val="00F879D9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1E734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E734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1E734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E734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2022-12-15T06:14:00Z</dcterms:created>
  <dcterms:modified xsi:type="dcterms:W3CDTF">2022-12-15T06:14:00Z</dcterms:modified>
</cp:coreProperties>
</file>