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E547D0">
      <w:pPr>
        <w:jc w:val="center"/>
        <w:rPr>
          <w:rFonts w:ascii="Times New Roman" w:hAnsi="Times New Roman"/>
          <w:b/>
          <w:bCs/>
          <w:color w:val="000080"/>
        </w:rPr>
      </w:pPr>
    </w:p>
    <w:p w:rsidR="00E547D0" w:rsidRDefault="00243CA5" w:rsidP="00E547D0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E15401">
        <w:rPr>
          <w:rFonts w:ascii="Times New Roman" w:hAnsi="Times New Roman"/>
          <w:b/>
          <w:bCs/>
          <w:color w:val="000080"/>
        </w:rPr>
        <w:t xml:space="preserve">consilier </w:t>
      </w:r>
      <w:r w:rsidR="000D20EB">
        <w:rPr>
          <w:rFonts w:ascii="Times New Roman" w:hAnsi="Times New Roman"/>
          <w:b/>
          <w:bCs/>
          <w:color w:val="000080"/>
        </w:rPr>
        <w:t xml:space="preserve">achiziții publice </w:t>
      </w:r>
      <w:r w:rsidR="00C7590A">
        <w:rPr>
          <w:rFonts w:ascii="Times New Roman" w:hAnsi="Times New Roman"/>
          <w:b/>
          <w:bCs/>
          <w:color w:val="000080"/>
        </w:rPr>
        <w:t xml:space="preserve">superior </w:t>
      </w:r>
      <w:r w:rsidR="008F4A04">
        <w:rPr>
          <w:rFonts w:ascii="Times New Roman" w:hAnsi="Times New Roman"/>
          <w:b/>
          <w:bCs/>
          <w:color w:val="000080"/>
        </w:rPr>
        <w:t xml:space="preserve">la Serviciul </w:t>
      </w:r>
      <w:r w:rsidR="000D20EB">
        <w:rPr>
          <w:rFonts w:ascii="Times New Roman" w:hAnsi="Times New Roman"/>
          <w:b/>
          <w:bCs/>
          <w:color w:val="000080"/>
        </w:rPr>
        <w:t xml:space="preserve">Achiziții Publice                                   </w:t>
      </w:r>
      <w:r w:rsidR="006114F4">
        <w:rPr>
          <w:rFonts w:ascii="Times New Roman" w:hAnsi="Times New Roman"/>
          <w:b/>
          <w:bCs/>
          <w:color w:val="000080"/>
        </w:rPr>
        <w:t xml:space="preserve"> (</w:t>
      </w:r>
      <w:r w:rsidR="000D20EB">
        <w:rPr>
          <w:rFonts w:ascii="Times New Roman" w:hAnsi="Times New Roman"/>
          <w:b/>
          <w:bCs/>
          <w:color w:val="000080"/>
        </w:rPr>
        <w:t xml:space="preserve"> SAP</w:t>
      </w:r>
      <w:r w:rsidR="00C7590A">
        <w:rPr>
          <w:rFonts w:ascii="Times New Roman" w:hAnsi="Times New Roman"/>
          <w:b/>
          <w:bCs/>
          <w:color w:val="000080"/>
        </w:rPr>
        <w:t xml:space="preserve"> 6</w:t>
      </w:r>
      <w:r w:rsidR="00E547D0">
        <w:rPr>
          <w:rFonts w:ascii="Times New Roman" w:hAnsi="Times New Roman"/>
          <w:b/>
          <w:bCs/>
          <w:color w:val="000080"/>
        </w:rPr>
        <w:t>)</w:t>
      </w:r>
      <w:r w:rsidR="000D20EB">
        <w:rPr>
          <w:rFonts w:ascii="Times New Roman" w:hAnsi="Times New Roman"/>
          <w:b/>
          <w:bCs/>
          <w:color w:val="000080"/>
        </w:rPr>
        <w:t xml:space="preserve"> – ID </w:t>
      </w:r>
      <w:r w:rsidR="0006677A">
        <w:rPr>
          <w:rFonts w:ascii="Times New Roman" w:hAnsi="Times New Roman"/>
          <w:b/>
          <w:bCs/>
          <w:color w:val="000080"/>
        </w:rPr>
        <w:t>24</w:t>
      </w:r>
      <w:r w:rsidR="000D20EB">
        <w:rPr>
          <w:rFonts w:ascii="Times New Roman" w:hAnsi="Times New Roman"/>
          <w:b/>
          <w:bCs/>
          <w:color w:val="000080"/>
        </w:rPr>
        <w:t>4255</w:t>
      </w:r>
    </w:p>
    <w:p w:rsidR="0049275C" w:rsidRDefault="0049275C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Elaborează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după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caz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actualizează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baza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necesităţilor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transmise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celelalte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compartimente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bookmarkStart w:id="0" w:name="_GoBack"/>
      <w:bookmarkEnd w:id="0"/>
      <w:r w:rsidRPr="000D20EB">
        <w:rPr>
          <w:rFonts w:ascii="Times New Roman" w:hAnsi="Times New Roman"/>
          <w:sz w:val="23"/>
          <w:szCs w:val="23"/>
          <w:lang w:val="en-US"/>
        </w:rPr>
        <w:t xml:space="preserve">ale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autorităţii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contractante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strategia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programul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anual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al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achiziţiilor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anexa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concesionare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bunurilor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proprietate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/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concesionare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in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100 /2016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Îndeplineşte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obligaţiile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referitoare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publicitate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prevederile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legale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vigoare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concesionare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bunurilor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</w:t>
      </w:r>
      <w:r w:rsidR="001D5589">
        <w:rPr>
          <w:rFonts w:ascii="Times New Roman" w:hAnsi="Times New Roman"/>
          <w:sz w:val="23"/>
          <w:szCs w:val="23"/>
          <w:lang w:val="en-US"/>
        </w:rPr>
        <w:t>prietate</w:t>
      </w:r>
      <w:proofErr w:type="spellEnd"/>
      <w:r w:rsidR="001D558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1D5589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="001D5589">
        <w:rPr>
          <w:rFonts w:ascii="Times New Roman" w:hAnsi="Times New Roman"/>
          <w:sz w:val="23"/>
          <w:szCs w:val="23"/>
          <w:lang w:val="en-US"/>
        </w:rPr>
        <w:t xml:space="preserve">/ </w:t>
      </w:r>
      <w:proofErr w:type="spellStart"/>
      <w:r w:rsidR="001D5589">
        <w:rPr>
          <w:rFonts w:ascii="Times New Roman" w:hAnsi="Times New Roman"/>
          <w:sz w:val="23"/>
          <w:szCs w:val="23"/>
          <w:lang w:val="en-US"/>
        </w:rPr>
        <w:t>concesionare</w:t>
      </w:r>
      <w:proofErr w:type="spellEnd"/>
      <w:r w:rsidR="001D558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1D5589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r w:rsidR="001D558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proofErr w:type="gramStart"/>
      <w:r w:rsidRPr="000D20EB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de</w:t>
      </w:r>
      <w:proofErr w:type="gram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100 /2016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Aplică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finalizează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procedurile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Propune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achiziţia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consultanţă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elaborarea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caietelor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sarcini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documentaţiei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cazul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achiziţii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la care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Primăria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2 nu are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specialişti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elaborarea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acestor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documente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Redactează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transmite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SEAP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/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site-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instituţiei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documentelor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prevăzute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legislaţia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concesionare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bunurilor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proprietate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/ </w:t>
      </w:r>
      <w:proofErr w:type="spellStart"/>
      <w:proofErr w:type="gramStart"/>
      <w:r w:rsidRPr="000D20EB">
        <w:rPr>
          <w:rFonts w:ascii="Times New Roman" w:hAnsi="Times New Roman"/>
          <w:sz w:val="23"/>
          <w:szCs w:val="23"/>
          <w:lang w:val="en-US"/>
        </w:rPr>
        <w:t>concesionare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proofErr w:type="gramEnd"/>
      <w:r w:rsidRPr="000D20EB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in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100 /2016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r w:rsidRPr="000D20EB">
        <w:rPr>
          <w:rFonts w:ascii="Times New Roman" w:hAnsi="Times New Roman"/>
          <w:sz w:val="23"/>
          <w:szCs w:val="23"/>
          <w:lang w:val="en-US"/>
        </w:rPr>
        <w:t xml:space="preserve">Face parte din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comisia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evaluare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0D20EB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ofertelor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Urmărește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implementează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modificările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legislative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tot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parcursul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procedurilor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Transmite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SEAP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răspunsurile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solicitările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clarificări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operatorilor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economici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Redactează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concesionare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bunurilor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proprietate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/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concesionare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in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100 /2016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anexele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acestora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inclusiv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propunerile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angajare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cheltuieli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proiectele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angajament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legal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angajamentele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bugetare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baza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cerinţelor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transmise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compartimentele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specialitate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. 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Înaintează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spre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avizare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legalitate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Derulează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procedurile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concesionare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bunurilor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proprietate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1D5589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sz w:val="23"/>
          <w:szCs w:val="23"/>
          <w:lang w:val="en-US"/>
        </w:rPr>
        <w:t>Derulează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proceduri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  a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  de </w:t>
      </w:r>
      <w:proofErr w:type="spellStart"/>
      <w:proofErr w:type="gramStart"/>
      <w:r w:rsidR="000D20EB" w:rsidRPr="000D20EB">
        <w:rPr>
          <w:rFonts w:ascii="Times New Roman" w:hAnsi="Times New Roman"/>
          <w:sz w:val="23"/>
          <w:szCs w:val="23"/>
          <w:lang w:val="en-US"/>
        </w:rPr>
        <w:t>concesionare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proofErr w:type="gram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si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concesiune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/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Legea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100 /2016 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concesiunile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si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concesiuni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="000D20EB"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="000D20EB" w:rsidRPr="000D20EB">
        <w:rPr>
          <w:rFonts w:ascii="Times New Roman" w:hAnsi="Times New Roman"/>
          <w:sz w:val="23"/>
          <w:szCs w:val="23"/>
          <w:lang w:val="en-US"/>
        </w:rPr>
        <w:t xml:space="preserve">. 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Înaintează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spre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semnare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către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furnizor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/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prestator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/executant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către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concesionar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Înaintează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spre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avizare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la control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financiar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preventiv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către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ordonatorul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principal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credite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anexele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aferente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transparenţa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cheltuirii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banilor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publicarea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conform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reglementărilor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legale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liberul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acces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informaţiile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interes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p</w:t>
      </w:r>
      <w:r>
        <w:rPr>
          <w:rFonts w:ascii="Times New Roman" w:hAnsi="Times New Roman"/>
          <w:sz w:val="23"/>
          <w:szCs w:val="23"/>
          <w:lang w:val="en-US"/>
        </w:rPr>
        <w:t xml:space="preserve">ublic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aşa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cum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este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prevăzut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0D20EB">
        <w:rPr>
          <w:rFonts w:ascii="Times New Roman" w:hAnsi="Times New Roman"/>
          <w:sz w:val="23"/>
          <w:szCs w:val="23"/>
          <w:lang w:val="en-US"/>
        </w:rPr>
        <w:t>Legea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nr</w:t>
      </w:r>
      <w:proofErr w:type="spellEnd"/>
      <w:proofErr w:type="gramEnd"/>
      <w:r w:rsidRPr="000D20EB">
        <w:rPr>
          <w:rFonts w:ascii="Times New Roman" w:hAnsi="Times New Roman"/>
          <w:sz w:val="23"/>
          <w:szCs w:val="23"/>
          <w:lang w:val="en-US"/>
        </w:rPr>
        <w:t xml:space="preserve">. 100/2016 din 19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mai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2016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lucrări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concesiunile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lastRenderedPageBreak/>
        <w:t>Întreprinde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demersurile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necesare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înregistrarea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/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reînnoirea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/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recuperarea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înregistrării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 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autorităţii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contractante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SEAP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recuperarea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certificatului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digital,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dacă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0D20EB">
        <w:rPr>
          <w:rFonts w:ascii="Times New Roman" w:hAnsi="Times New Roman"/>
          <w:sz w:val="23"/>
          <w:szCs w:val="23"/>
          <w:lang w:val="en-US"/>
        </w:rPr>
        <w:t>este</w:t>
      </w:r>
      <w:proofErr w:type="spellEnd"/>
      <w:proofErr w:type="gram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cazul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Constituie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păstrează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dosarul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achiziţiei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Verifică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referatele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necesitate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caietele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sarcini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precum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alte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documente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achiziției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vederea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identificării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eventualelor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neconcordanțe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legislația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vigoare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Transmite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direcției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inițiatoare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scris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solicitările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modificare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0D20EB">
        <w:rPr>
          <w:rFonts w:ascii="Times New Roman" w:hAnsi="Times New Roman"/>
          <w:sz w:val="23"/>
          <w:szCs w:val="23"/>
          <w:lang w:val="en-US"/>
        </w:rPr>
        <w:t>ce</w:t>
      </w:r>
      <w:proofErr w:type="spellEnd"/>
      <w:proofErr w:type="gramEnd"/>
      <w:r w:rsidRPr="000D20EB">
        <w:rPr>
          <w:rFonts w:ascii="Times New Roman" w:hAnsi="Times New Roman"/>
          <w:sz w:val="23"/>
          <w:szCs w:val="23"/>
          <w:lang w:val="en-US"/>
        </w:rPr>
        <w:t xml:space="preserve"> se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impun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cuprinsul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referatelor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necesitate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specificațiilor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tehnice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ș.a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.,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motivat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/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fundamentat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intermediul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legislației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vigoare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Solicită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Agenției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Naționale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Achiziții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efectuarea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controlului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ex ante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voluntar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dacă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se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consideră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necesar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cazul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procedurilor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cu grad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risc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ridicat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Propune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eliberarea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garanţiei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participare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constituită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procedura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urma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căreia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s-</w:t>
      </w:r>
      <w:proofErr w:type="gramStart"/>
      <w:r w:rsidRPr="000D20EB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atribuit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contractul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soluţionarea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sesizărilor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reclamaţiilor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primite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la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cetăţeni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Gestionează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arhivează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documentele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produse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executarea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atribuţiilor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serviciu</w:t>
      </w:r>
      <w:proofErr w:type="spellEnd"/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Redactează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diverse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adrese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scrisori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(cu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carac</w:t>
      </w:r>
      <w:r w:rsidR="001D5589">
        <w:rPr>
          <w:rFonts w:ascii="Times New Roman" w:hAnsi="Times New Roman"/>
          <w:sz w:val="23"/>
          <w:szCs w:val="23"/>
          <w:lang w:val="en-US"/>
        </w:rPr>
        <w:t>ter</w:t>
      </w:r>
      <w:proofErr w:type="spellEnd"/>
      <w:r w:rsidR="001D558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="001D5589">
        <w:rPr>
          <w:rFonts w:ascii="Times New Roman" w:hAnsi="Times New Roman"/>
          <w:sz w:val="23"/>
          <w:szCs w:val="23"/>
          <w:lang w:val="en-US"/>
        </w:rPr>
        <w:t>ocazional</w:t>
      </w:r>
      <w:proofErr w:type="spellEnd"/>
      <w:r w:rsidR="001D5589">
        <w:rPr>
          <w:rFonts w:ascii="Times New Roman" w:hAnsi="Times New Roman"/>
          <w:sz w:val="23"/>
          <w:szCs w:val="23"/>
          <w:lang w:val="en-US"/>
        </w:rPr>
        <w:t xml:space="preserve">) ale </w:t>
      </w:r>
      <w:proofErr w:type="spellStart"/>
      <w:r w:rsidR="001D5589"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 w:rsidR="001D558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="001D5589">
        <w:rPr>
          <w:rFonts w:ascii="Times New Roman" w:hAnsi="Times New Roman"/>
          <w:sz w:val="23"/>
          <w:szCs w:val="23"/>
          <w:lang w:val="en-US"/>
        </w:rPr>
        <w:t>adresate</w:t>
      </w:r>
      <w:proofErr w:type="spellEnd"/>
      <w:r w:rsidR="001D558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organizaţiilor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instituţiilor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referitoare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activitatea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care o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desfăşoară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0D20EB" w:rsidRPr="000D20EB" w:rsidRDefault="000D20EB" w:rsidP="000D20EB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orice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0D20EB">
        <w:rPr>
          <w:rFonts w:ascii="Times New Roman" w:hAnsi="Times New Roman"/>
          <w:sz w:val="23"/>
          <w:szCs w:val="23"/>
          <w:lang w:val="en-US"/>
        </w:rPr>
        <w:t>altă</w:t>
      </w:r>
      <w:proofErr w:type="spellEnd"/>
      <w:proofErr w:type="gram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sarcină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profesională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care are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legătură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atribuţiile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solic</w:t>
      </w:r>
      <w:r>
        <w:rPr>
          <w:rFonts w:ascii="Times New Roman" w:hAnsi="Times New Roman"/>
          <w:sz w:val="23"/>
          <w:szCs w:val="23"/>
          <w:lang w:val="en-US"/>
        </w:rPr>
        <w:t>itată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Şeful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0D20EB">
        <w:rPr>
          <w:rFonts w:ascii="Times New Roman" w:hAnsi="Times New Roman"/>
          <w:sz w:val="23"/>
          <w:szCs w:val="23"/>
          <w:lang w:val="en-US"/>
        </w:rPr>
        <w:t>Primar</w:t>
      </w:r>
      <w:proofErr w:type="spellEnd"/>
      <w:r w:rsidRPr="000D20EB">
        <w:rPr>
          <w:rFonts w:ascii="Times New Roman" w:hAnsi="Times New Roman"/>
          <w:sz w:val="23"/>
          <w:szCs w:val="23"/>
          <w:lang w:val="en-US"/>
        </w:rPr>
        <w:t>.</w:t>
      </w:r>
    </w:p>
    <w:p w:rsidR="00675E08" w:rsidRPr="000D20EB" w:rsidRDefault="00675E08" w:rsidP="000D20EB">
      <w:pPr>
        <w:autoSpaceDN w:val="0"/>
        <w:spacing w:line="276" w:lineRule="auto"/>
        <w:ind w:left="720" w:right="-421"/>
        <w:jc w:val="both"/>
        <w:rPr>
          <w:rFonts w:ascii="Times New Roman" w:hAnsi="Times New Roman"/>
          <w:sz w:val="23"/>
          <w:szCs w:val="23"/>
          <w:lang w:val="en-US"/>
        </w:rPr>
      </w:pPr>
    </w:p>
    <w:sectPr w:rsidR="00675E08" w:rsidRPr="000D20EB" w:rsidSect="0049275C">
      <w:headerReference w:type="default" r:id="rId11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5BD" w:rsidRDefault="00A075BD" w:rsidP="00721DC5">
      <w:r>
        <w:separator/>
      </w:r>
    </w:p>
  </w:endnote>
  <w:endnote w:type="continuationSeparator" w:id="0">
    <w:p w:rsidR="00A075BD" w:rsidRDefault="00A075BD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5BD" w:rsidRDefault="00A075BD" w:rsidP="00721DC5">
      <w:r>
        <w:separator/>
      </w:r>
    </w:p>
  </w:footnote>
  <w:footnote w:type="continuationSeparator" w:id="0">
    <w:p w:rsidR="00A075BD" w:rsidRDefault="00A075BD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A075BD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6677A"/>
    <w:rsid w:val="000C15D5"/>
    <w:rsid w:val="000D20EB"/>
    <w:rsid w:val="001D5589"/>
    <w:rsid w:val="00232E40"/>
    <w:rsid w:val="00243CA5"/>
    <w:rsid w:val="002A2C2E"/>
    <w:rsid w:val="002C1211"/>
    <w:rsid w:val="00306FE6"/>
    <w:rsid w:val="0031605C"/>
    <w:rsid w:val="003B6D64"/>
    <w:rsid w:val="0049275C"/>
    <w:rsid w:val="004A7EB0"/>
    <w:rsid w:val="004B6F67"/>
    <w:rsid w:val="00506380"/>
    <w:rsid w:val="005A3786"/>
    <w:rsid w:val="005A5B20"/>
    <w:rsid w:val="005E2BB8"/>
    <w:rsid w:val="006114F4"/>
    <w:rsid w:val="006517A3"/>
    <w:rsid w:val="00675E08"/>
    <w:rsid w:val="0068283D"/>
    <w:rsid w:val="006D55EA"/>
    <w:rsid w:val="006E4724"/>
    <w:rsid w:val="00721DC5"/>
    <w:rsid w:val="00734BAB"/>
    <w:rsid w:val="007D1384"/>
    <w:rsid w:val="00846EAB"/>
    <w:rsid w:val="0086673E"/>
    <w:rsid w:val="00895612"/>
    <w:rsid w:val="008F4A04"/>
    <w:rsid w:val="009B1F1B"/>
    <w:rsid w:val="00A075BD"/>
    <w:rsid w:val="00BC089C"/>
    <w:rsid w:val="00C50F69"/>
    <w:rsid w:val="00C7590A"/>
    <w:rsid w:val="00C93DB2"/>
    <w:rsid w:val="00D03DB7"/>
    <w:rsid w:val="00D32746"/>
    <w:rsid w:val="00DE6C32"/>
    <w:rsid w:val="00DE7D82"/>
    <w:rsid w:val="00E15401"/>
    <w:rsid w:val="00E2240F"/>
    <w:rsid w:val="00E547D0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created xsi:type="dcterms:W3CDTF">2021-06-28T07:55:00Z</dcterms:created>
  <dcterms:modified xsi:type="dcterms:W3CDTF">2023-01-09T13:12:00Z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