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4C" w:rsidRDefault="00BF0F4C" w:rsidP="003C32B1">
      <w:pPr>
        <w:autoSpaceDE w:val="0"/>
        <w:autoSpaceDN w:val="0"/>
        <w:adjustRightInd w:val="0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437878" w:rsidRDefault="00437878" w:rsidP="00437878">
      <w:pPr>
        <w:autoSpaceDE w:val="0"/>
        <w:autoSpaceDN w:val="0"/>
        <w:adjustRightInd w:val="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>
        <w:rPr>
          <w:noProof/>
          <w:lang w:val="en-US" w:eastAsia="en-US"/>
        </w:rPr>
        <w:drawing>
          <wp:inline distT="0" distB="0" distL="0" distR="0" wp14:anchorId="57023BD9" wp14:editId="0BBEE6DA">
            <wp:extent cx="5903595" cy="1098094"/>
            <wp:effectExtent l="0" t="0" r="1905" b="6985"/>
            <wp:docPr id="5" name="I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 ps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3595" cy="1098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4E98" w:rsidRDefault="00B24E98" w:rsidP="00726302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3C32B1" w:rsidRPr="00832234" w:rsidRDefault="003C32B1" w:rsidP="00726302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832234">
        <w:rPr>
          <w:b/>
          <w:bCs/>
          <w:i/>
          <w:iCs/>
          <w:color w:val="000000"/>
          <w:sz w:val="26"/>
          <w:szCs w:val="26"/>
          <w:lang w:eastAsia="en-US"/>
        </w:rPr>
        <w:t>TEMATICA</w:t>
      </w:r>
    </w:p>
    <w:p w:rsidR="00437878" w:rsidRPr="00437878" w:rsidRDefault="00437878" w:rsidP="00437878">
      <w:pPr>
        <w:spacing w:line="276" w:lineRule="auto"/>
        <w:ind w:left="-284" w:right="-284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437878">
        <w:rPr>
          <w:b/>
          <w:bCs/>
          <w:i/>
          <w:iCs/>
          <w:color w:val="000000"/>
          <w:sz w:val="26"/>
          <w:szCs w:val="26"/>
          <w:lang w:eastAsia="en-US"/>
        </w:rPr>
        <w:t xml:space="preserve">la concursul de promovare în funcţia publică de conducere vacantă </w:t>
      </w:r>
    </w:p>
    <w:p w:rsidR="00B52A09" w:rsidRPr="00832234" w:rsidRDefault="00437878" w:rsidP="00437878">
      <w:pPr>
        <w:spacing w:line="276" w:lineRule="auto"/>
        <w:ind w:left="-284" w:right="-284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  <w:r w:rsidRPr="00437878">
        <w:rPr>
          <w:b/>
          <w:bCs/>
          <w:i/>
          <w:iCs/>
          <w:color w:val="000000"/>
          <w:sz w:val="26"/>
          <w:szCs w:val="26"/>
          <w:lang w:eastAsia="en-US"/>
        </w:rPr>
        <w:t>de Șef Serviciu la Serviciul Fonduri Europene din cadrul DGPDUFE</w:t>
      </w:r>
    </w:p>
    <w:p w:rsidR="00437878" w:rsidRDefault="00437878" w:rsidP="00437878">
      <w:pPr>
        <w:spacing w:line="276" w:lineRule="auto"/>
        <w:ind w:left="-284" w:right="-284"/>
        <w:jc w:val="center"/>
        <w:rPr>
          <w:b/>
          <w:bCs/>
          <w:i/>
          <w:iCs/>
          <w:color w:val="000000"/>
          <w:lang w:eastAsia="en-US"/>
        </w:rPr>
      </w:pPr>
    </w:p>
    <w:p w:rsidR="00437878" w:rsidRDefault="00437878" w:rsidP="00437878">
      <w:pPr>
        <w:spacing w:line="276" w:lineRule="auto"/>
        <w:ind w:left="-284" w:right="-284"/>
        <w:jc w:val="center"/>
        <w:rPr>
          <w:b/>
          <w:bCs/>
          <w:i/>
          <w:iCs/>
          <w:color w:val="000000"/>
          <w:sz w:val="26"/>
          <w:szCs w:val="26"/>
          <w:lang w:eastAsia="en-US"/>
        </w:rPr>
      </w:pPr>
    </w:p>
    <w:p w:rsidR="007B6229" w:rsidRPr="00DB46BE" w:rsidRDefault="007B6229" w:rsidP="00437878">
      <w:pPr>
        <w:spacing w:line="276" w:lineRule="auto"/>
        <w:ind w:left="-284" w:right="-143"/>
        <w:jc w:val="both"/>
        <w:rPr>
          <w:b/>
          <w:lang w:val="en-US"/>
        </w:rPr>
      </w:pPr>
      <w:r>
        <w:rPr>
          <w:b/>
          <w:lang w:val="it-IT"/>
        </w:rPr>
        <w:t>1</w:t>
      </w:r>
      <w:r w:rsidRPr="005E77A7">
        <w:rPr>
          <w:b/>
          <w:lang w:val="it-IT"/>
        </w:rPr>
        <w:t xml:space="preserve">. </w:t>
      </w:r>
      <w:r w:rsidRPr="00DB46BE">
        <w:rPr>
          <w:b/>
          <w:lang w:val="it-IT"/>
        </w:rPr>
        <w:t>Constitu</w:t>
      </w:r>
      <w:r w:rsidRPr="00DB46BE">
        <w:rPr>
          <w:b/>
        </w:rPr>
        <w:t>ția României, republicată</w:t>
      </w:r>
      <w:r w:rsidRPr="00DB46BE">
        <w:rPr>
          <w:b/>
          <w:lang w:val="en-US"/>
        </w:rPr>
        <w:t>.</w:t>
      </w:r>
    </w:p>
    <w:p w:rsidR="007B6229" w:rsidRPr="00DB46BE" w:rsidRDefault="007B6229" w:rsidP="00437878">
      <w:pPr>
        <w:spacing w:line="276" w:lineRule="auto"/>
        <w:ind w:left="567" w:right="-143"/>
        <w:jc w:val="both"/>
        <w:rPr>
          <w:lang w:val="it-IT"/>
        </w:rPr>
      </w:pPr>
      <w:r w:rsidRPr="00DB46BE">
        <w:rPr>
          <w:lang w:val="it-IT"/>
        </w:rPr>
        <w:t>Drepturile, libertățile și îndatoririle fundamentale;</w:t>
      </w:r>
    </w:p>
    <w:p w:rsidR="007B6229" w:rsidRPr="00DB46BE" w:rsidRDefault="007B6229" w:rsidP="00437878">
      <w:pPr>
        <w:spacing w:after="120" w:line="276" w:lineRule="auto"/>
        <w:ind w:left="567" w:right="-143"/>
        <w:jc w:val="both"/>
        <w:rPr>
          <w:lang w:val="it-IT"/>
        </w:rPr>
      </w:pPr>
      <w:r w:rsidRPr="00DB46BE">
        <w:rPr>
          <w:lang w:val="it-IT"/>
        </w:rPr>
        <w:t>Administrația publică locală;</w:t>
      </w:r>
    </w:p>
    <w:p w:rsidR="007B6229" w:rsidRPr="00DB46BE" w:rsidRDefault="007B6229" w:rsidP="00437878">
      <w:pPr>
        <w:spacing w:line="276" w:lineRule="auto"/>
        <w:ind w:left="-284" w:right="-143"/>
        <w:jc w:val="both"/>
        <w:rPr>
          <w:b/>
          <w:lang w:val="it-IT"/>
        </w:rPr>
      </w:pPr>
      <w:r w:rsidRPr="00DB46BE">
        <w:rPr>
          <w:b/>
          <w:lang w:val="it-IT"/>
        </w:rPr>
        <w:t xml:space="preserve">2. Ordonanța  de  Urgență  nr. 57/2019  privind  Codul  administrativ,  cu  modificările  și </w:t>
      </w:r>
    </w:p>
    <w:p w:rsidR="007B6229" w:rsidRPr="00DB46BE" w:rsidRDefault="007B6229" w:rsidP="00437878">
      <w:pPr>
        <w:spacing w:line="276" w:lineRule="auto"/>
        <w:ind w:left="-284" w:right="-143"/>
        <w:jc w:val="both"/>
        <w:rPr>
          <w:b/>
          <w:lang w:val="it-IT"/>
        </w:rPr>
      </w:pPr>
      <w:r w:rsidRPr="00DB46BE">
        <w:rPr>
          <w:b/>
          <w:lang w:val="it-IT"/>
        </w:rPr>
        <w:t>completările ulterioare.</w:t>
      </w:r>
    </w:p>
    <w:p w:rsidR="007B6229" w:rsidRPr="00DB46BE" w:rsidRDefault="007B6229" w:rsidP="00437878">
      <w:pPr>
        <w:spacing w:line="276" w:lineRule="auto"/>
        <w:ind w:left="-284" w:right="-143"/>
        <w:jc w:val="both"/>
      </w:pPr>
      <w:r w:rsidRPr="00DB46BE">
        <w:rPr>
          <w:b/>
          <w:lang w:val="it-IT"/>
        </w:rPr>
        <w:tab/>
      </w:r>
      <w:r w:rsidRPr="00DB46BE">
        <w:rPr>
          <w:b/>
          <w:bCs/>
          <w:lang w:val="it-IT"/>
        </w:rPr>
        <w:t xml:space="preserve"> </w:t>
      </w:r>
      <w:r w:rsidR="0014606B" w:rsidRPr="00DB46BE">
        <w:rPr>
          <w:b/>
          <w:bCs/>
          <w:lang w:val="it-IT"/>
        </w:rPr>
        <w:t xml:space="preserve">        </w:t>
      </w:r>
      <w:r w:rsidRPr="00DB46BE">
        <w:t>Dispoziții generale;</w:t>
      </w:r>
    </w:p>
    <w:p w:rsidR="007B6229" w:rsidRPr="00DB46BE" w:rsidRDefault="007B6229" w:rsidP="00437878">
      <w:pPr>
        <w:autoSpaceDE w:val="0"/>
        <w:autoSpaceDN w:val="0"/>
        <w:adjustRightInd w:val="0"/>
        <w:spacing w:after="120" w:line="276" w:lineRule="auto"/>
        <w:ind w:left="567" w:right="-143"/>
        <w:jc w:val="both"/>
      </w:pPr>
      <w:r w:rsidRPr="00DB46BE">
        <w:t>Statutul funcţionarilor publici;</w:t>
      </w:r>
    </w:p>
    <w:p w:rsidR="007B6229" w:rsidRPr="00DB46BE" w:rsidRDefault="007B6229" w:rsidP="00437878">
      <w:pPr>
        <w:spacing w:line="276" w:lineRule="auto"/>
        <w:ind w:left="-284" w:right="-143"/>
        <w:jc w:val="both"/>
        <w:rPr>
          <w:b/>
          <w:lang w:val="it-IT"/>
        </w:rPr>
      </w:pPr>
      <w:r w:rsidRPr="00DB46BE">
        <w:rPr>
          <w:b/>
          <w:lang w:val="it-IT"/>
        </w:rPr>
        <w:t xml:space="preserve">3. Ordonanţa Guvernului nr. 137/2000 privind prevenirea şi sancţionarea tuturor formelor de discriminare, republicată, cu modificările şi completările ulterioare.   </w:t>
      </w:r>
    </w:p>
    <w:p w:rsidR="007B6229" w:rsidRPr="00DB46BE" w:rsidRDefault="007B6229" w:rsidP="00437878">
      <w:pPr>
        <w:spacing w:line="276" w:lineRule="auto"/>
        <w:ind w:left="567" w:right="-143"/>
        <w:jc w:val="both"/>
      </w:pPr>
      <w:r w:rsidRPr="00DB46BE">
        <w:t>Discriminarea şi hărţuirea morală la locul de muncă;</w:t>
      </w:r>
    </w:p>
    <w:p w:rsidR="007B6229" w:rsidRPr="00DB46BE" w:rsidRDefault="007B6229" w:rsidP="00437878">
      <w:pPr>
        <w:spacing w:line="276" w:lineRule="auto"/>
        <w:ind w:left="567" w:right="-143"/>
        <w:jc w:val="both"/>
      </w:pPr>
      <w:r w:rsidRPr="00DB46BE">
        <w:t>Dreptul la demnitate personală;</w:t>
      </w:r>
    </w:p>
    <w:p w:rsidR="007B6229" w:rsidRPr="00DB46BE" w:rsidRDefault="007B6229" w:rsidP="00437878">
      <w:pPr>
        <w:spacing w:line="276" w:lineRule="auto"/>
        <w:ind w:left="567" w:right="-143"/>
        <w:jc w:val="both"/>
      </w:pPr>
      <w:r w:rsidRPr="00DB46BE">
        <w:t>Consiliul Naţional pentru Combaterea Discriminării;</w:t>
      </w:r>
    </w:p>
    <w:p w:rsidR="007B6229" w:rsidRPr="00DB46BE" w:rsidRDefault="007B6229" w:rsidP="00437878">
      <w:pPr>
        <w:spacing w:after="120" w:line="276" w:lineRule="auto"/>
        <w:ind w:left="567" w:right="-143"/>
        <w:jc w:val="both"/>
      </w:pPr>
      <w:r w:rsidRPr="00DB46BE">
        <w:t>Sancţionarea formelor de discriminare;</w:t>
      </w:r>
    </w:p>
    <w:p w:rsidR="0014606B" w:rsidRPr="00DB46BE" w:rsidRDefault="0014606B" w:rsidP="00437878">
      <w:pPr>
        <w:spacing w:line="276" w:lineRule="auto"/>
        <w:ind w:left="-284" w:right="-143"/>
        <w:jc w:val="both"/>
        <w:rPr>
          <w:b/>
        </w:rPr>
      </w:pPr>
      <w:r w:rsidRPr="00DB46BE">
        <w:rPr>
          <w:b/>
        </w:rPr>
        <w:t xml:space="preserve">4. </w:t>
      </w:r>
      <w:r w:rsidR="007B6229" w:rsidRPr="00DB46BE">
        <w:rPr>
          <w:b/>
        </w:rPr>
        <w:t>Legea nr. 202/2002 privind egalitatea de şanse şi tratament între femei şi bărbaţi, republicată, cu modificările şi completările ulterioare.</w:t>
      </w:r>
    </w:p>
    <w:p w:rsidR="0014606B" w:rsidRPr="00DB46BE" w:rsidRDefault="0014606B" w:rsidP="00437878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DB46BE">
        <w:t>Egalitatea de şanse şi tratament între femei şi bărbaţi în domeniul muncii;</w:t>
      </w:r>
    </w:p>
    <w:p w:rsidR="0014606B" w:rsidRPr="00DB46BE" w:rsidRDefault="0014606B" w:rsidP="00437878">
      <w:pPr>
        <w:autoSpaceDE w:val="0"/>
        <w:autoSpaceDN w:val="0"/>
        <w:adjustRightInd w:val="0"/>
        <w:spacing w:line="276" w:lineRule="auto"/>
        <w:ind w:left="567" w:right="-143"/>
        <w:jc w:val="both"/>
      </w:pPr>
      <w:r w:rsidRPr="00DB46BE">
        <w:t>Agenţia Naţională pentru Egalitatea de Şanse între Femei şi Bărbaţi;</w:t>
      </w:r>
    </w:p>
    <w:p w:rsidR="0014606B" w:rsidRPr="00DB46BE" w:rsidRDefault="0014606B" w:rsidP="00437878">
      <w:pPr>
        <w:spacing w:after="120" w:line="276" w:lineRule="auto"/>
        <w:ind w:left="567" w:right="-143"/>
        <w:jc w:val="both"/>
      </w:pPr>
      <w:r w:rsidRPr="00DB46BE">
        <w:t>Soluţionarea sesizărilor şi reclamaţiilor privind discriminarea pe criteriul sex;</w:t>
      </w:r>
    </w:p>
    <w:p w:rsidR="0014606B" w:rsidRPr="00DB46BE" w:rsidRDefault="0014606B" w:rsidP="00437878">
      <w:pPr>
        <w:spacing w:line="276" w:lineRule="auto"/>
        <w:ind w:left="-284" w:right="-143"/>
        <w:jc w:val="both"/>
        <w:rPr>
          <w:b/>
        </w:rPr>
      </w:pPr>
      <w:r w:rsidRPr="00DB46BE">
        <w:rPr>
          <w:b/>
        </w:rPr>
        <w:t>5. HG nr. 907 din 29 noiembrie 2016 privind etapele de elaborare şi conţinutul-cadru al documentaţiilor tehnicoeconomice aferente obiectivelor/proiectelor de investiţii finanţate din fonduri publice, cu modificările și completările ulterioare.</w:t>
      </w:r>
    </w:p>
    <w:p w:rsidR="0014606B" w:rsidRPr="00DB46BE" w:rsidRDefault="0014606B" w:rsidP="00437878">
      <w:pPr>
        <w:spacing w:after="120" w:line="276" w:lineRule="auto"/>
        <w:ind w:left="-284" w:right="-143"/>
      </w:pPr>
      <w:r w:rsidRPr="00DB46BE">
        <w:rPr>
          <w:b/>
        </w:rPr>
        <w:tab/>
        <w:t xml:space="preserve">          </w:t>
      </w:r>
      <w:r w:rsidRPr="00DB46BE">
        <w:t>Structura documentaţíilor tehnico–economice aferente investiţiilor publice</w:t>
      </w:r>
      <w:r w:rsidR="00640923" w:rsidRPr="00DB46BE">
        <w:t>;</w:t>
      </w:r>
    </w:p>
    <w:p w:rsidR="0014606B" w:rsidRPr="00DB46BE" w:rsidRDefault="0014606B" w:rsidP="00437878">
      <w:pPr>
        <w:spacing w:line="276" w:lineRule="auto"/>
        <w:ind w:left="-284" w:right="-143"/>
        <w:rPr>
          <w:b/>
        </w:rPr>
      </w:pPr>
      <w:r w:rsidRPr="00DB46BE">
        <w:rPr>
          <w:b/>
        </w:rPr>
        <w:t xml:space="preserve">6. </w:t>
      </w:r>
      <w:r w:rsidR="00911A67" w:rsidRPr="00DB46BE">
        <w:rPr>
          <w:b/>
        </w:rPr>
        <w:t>Planul Național pentru Redresare și Reziliență</w:t>
      </w:r>
      <w:r w:rsidR="00640923" w:rsidRPr="00DB46BE">
        <w:rPr>
          <w:b/>
        </w:rPr>
        <w:t>.</w:t>
      </w:r>
    </w:p>
    <w:p w:rsidR="00911A67" w:rsidRPr="00DB46BE" w:rsidRDefault="00911A67" w:rsidP="00437878">
      <w:pPr>
        <w:spacing w:line="276" w:lineRule="auto"/>
        <w:ind w:left="-284" w:right="-143"/>
        <w:rPr>
          <w:lang w:val="en-US"/>
        </w:rPr>
      </w:pPr>
      <w:r w:rsidRPr="00DB46BE">
        <w:rPr>
          <w:b/>
        </w:rPr>
        <w:tab/>
        <w:t xml:space="preserve">          </w:t>
      </w:r>
      <w:r w:rsidRPr="00DB46BE">
        <w:t xml:space="preserve">Planul Național pentru Redresare și Reziliență al României aprobat de Consiliul UE din </w:t>
      </w:r>
      <w:r w:rsidR="00437878" w:rsidRPr="00DB46BE">
        <w:tab/>
      </w:r>
      <w:r w:rsidR="00437878" w:rsidRPr="00DB46BE">
        <w:tab/>
        <w:t xml:space="preserve">           </w:t>
      </w:r>
      <w:r w:rsidRPr="00DB46BE">
        <w:t>28.10.2021</w:t>
      </w:r>
      <w:r w:rsidR="00FF1420" w:rsidRPr="00DB46BE">
        <w:rPr>
          <w:lang w:val="en-US"/>
        </w:rPr>
        <w:t>;</w:t>
      </w:r>
    </w:p>
    <w:p w:rsidR="00911A67" w:rsidRPr="00DB46BE" w:rsidRDefault="00911A67" w:rsidP="00437878">
      <w:pPr>
        <w:spacing w:line="276" w:lineRule="auto"/>
        <w:ind w:left="-284" w:right="-143"/>
        <w:rPr>
          <w:b/>
        </w:rPr>
      </w:pPr>
      <w:r w:rsidRPr="00DB46BE">
        <w:rPr>
          <w:b/>
        </w:rPr>
        <w:t xml:space="preserve">7. </w:t>
      </w:r>
      <w:r w:rsidR="004D2A29" w:rsidRPr="00DB46BE">
        <w:rPr>
          <w:b/>
        </w:rPr>
        <w:t>Programul Regional București-Ilfov 2021-2027</w:t>
      </w:r>
      <w:r w:rsidR="00832234">
        <w:rPr>
          <w:b/>
        </w:rPr>
        <w:t>.</w:t>
      </w:r>
    </w:p>
    <w:p w:rsidR="003B6386" w:rsidRPr="00DB46BE" w:rsidRDefault="003B6386" w:rsidP="00437878">
      <w:pPr>
        <w:spacing w:line="276" w:lineRule="auto"/>
        <w:ind w:left="-284" w:right="-143"/>
      </w:pPr>
      <w:r w:rsidRPr="00DB46BE">
        <w:rPr>
          <w:b/>
        </w:rPr>
        <w:tab/>
        <w:t xml:space="preserve">          </w:t>
      </w:r>
      <w:r w:rsidRPr="00DB46BE">
        <w:t xml:space="preserve">Logica intervențiilor PR BI 2021-2027 (priorități, </w:t>
      </w:r>
      <w:r w:rsidR="00FF1420" w:rsidRPr="00DB46BE">
        <w:t xml:space="preserve">acțiuni, grupuri țintă, indicatori de rezultat, </w:t>
      </w:r>
      <w:r w:rsidR="00437878" w:rsidRPr="00DB46BE">
        <w:tab/>
        <w:t xml:space="preserve">          </w:t>
      </w:r>
      <w:r w:rsidR="00FF1420" w:rsidRPr="00DB46BE">
        <w:t>investiții eligibile</w:t>
      </w:r>
      <w:r w:rsidRPr="00DB46BE">
        <w:t>)</w:t>
      </w:r>
      <w:r w:rsidR="00FF1420" w:rsidRPr="00DB46BE">
        <w:t>;</w:t>
      </w:r>
    </w:p>
    <w:p w:rsidR="00FF1420" w:rsidRPr="00DB46BE" w:rsidRDefault="00FF1420" w:rsidP="00437878">
      <w:pPr>
        <w:spacing w:line="276" w:lineRule="auto"/>
        <w:ind w:left="-284" w:right="-143"/>
        <w:rPr>
          <w:b/>
        </w:rPr>
      </w:pPr>
      <w:r w:rsidRPr="00DB46BE">
        <w:rPr>
          <w:b/>
        </w:rPr>
        <w:t>8. Legea 273/2006 privind finanțele publice</w:t>
      </w:r>
      <w:r w:rsidR="00437878" w:rsidRPr="00DB46BE">
        <w:rPr>
          <w:b/>
        </w:rPr>
        <w:t>, cu modificările și completările ulterioare.</w:t>
      </w:r>
    </w:p>
    <w:p w:rsidR="00FF1420" w:rsidRPr="00DB46BE" w:rsidRDefault="00F6313E" w:rsidP="00437878">
      <w:pPr>
        <w:spacing w:line="276" w:lineRule="auto"/>
        <w:ind w:right="-143"/>
        <w:rPr>
          <w:lang w:val="en-US"/>
        </w:rPr>
      </w:pPr>
      <w:r w:rsidRPr="00DB46BE">
        <w:t xml:space="preserve">         </w:t>
      </w:r>
      <w:r w:rsidR="00FF1420" w:rsidRPr="00DB46BE">
        <w:t>Informații privind programele de investiții publice</w:t>
      </w:r>
      <w:r w:rsidRPr="00DB46BE">
        <w:rPr>
          <w:lang w:val="en-US"/>
        </w:rPr>
        <w:t>;</w:t>
      </w:r>
    </w:p>
    <w:p w:rsidR="00FF1420" w:rsidRDefault="00F6313E" w:rsidP="00437878">
      <w:pPr>
        <w:spacing w:line="276" w:lineRule="auto"/>
        <w:ind w:left="-284" w:right="-143"/>
      </w:pPr>
      <w:r w:rsidRPr="00DB46BE">
        <w:rPr>
          <w:b/>
        </w:rPr>
        <w:tab/>
        <w:t xml:space="preserve">         </w:t>
      </w:r>
      <w:r w:rsidRPr="00DB46BE">
        <w:t>Veniturile și cheltuielile secțiunii de funcționare;</w:t>
      </w:r>
    </w:p>
    <w:p w:rsidR="00B24E98" w:rsidRDefault="00B24E98" w:rsidP="00437878">
      <w:pPr>
        <w:spacing w:line="276" w:lineRule="auto"/>
        <w:ind w:left="-284" w:right="-143"/>
      </w:pPr>
    </w:p>
    <w:p w:rsidR="00B24E98" w:rsidRDefault="00B24E98" w:rsidP="00437878">
      <w:pPr>
        <w:spacing w:line="276" w:lineRule="auto"/>
        <w:ind w:left="-284" w:right="-143"/>
      </w:pPr>
    </w:p>
    <w:p w:rsidR="00B24E98" w:rsidRDefault="00B24E98" w:rsidP="00437878">
      <w:pPr>
        <w:spacing w:line="276" w:lineRule="auto"/>
        <w:ind w:left="-284" w:right="-143"/>
      </w:pPr>
    </w:p>
    <w:p w:rsidR="00B24E98" w:rsidRDefault="00B24E98" w:rsidP="00437878">
      <w:pPr>
        <w:spacing w:line="276" w:lineRule="auto"/>
        <w:ind w:left="-284" w:right="-143"/>
      </w:pPr>
    </w:p>
    <w:p w:rsidR="00B24E98" w:rsidRPr="00DB46BE" w:rsidRDefault="00B24E98" w:rsidP="00437878">
      <w:pPr>
        <w:spacing w:line="276" w:lineRule="auto"/>
        <w:ind w:left="-284" w:right="-143"/>
      </w:pPr>
    </w:p>
    <w:p w:rsidR="00F6313E" w:rsidRPr="00DB46BE" w:rsidRDefault="00F6313E" w:rsidP="00437878">
      <w:pPr>
        <w:spacing w:line="276" w:lineRule="auto"/>
        <w:ind w:left="-284" w:right="-143"/>
        <w:rPr>
          <w:b/>
        </w:rPr>
      </w:pPr>
      <w:r w:rsidRPr="00DB46BE">
        <w:rPr>
          <w:b/>
        </w:rPr>
        <w:t>9</w:t>
      </w:r>
      <w:r w:rsidRPr="00DB46BE">
        <w:t xml:space="preserve">. </w:t>
      </w:r>
      <w:r w:rsidRPr="00DB46BE">
        <w:rPr>
          <w:b/>
        </w:rPr>
        <w:t>HG nr. 925/1995 privind aprobarea Regulamentului de verificare şi expertizare tehnică de calitate a proiectelor, a execuţiei lucrărilor şi a construcţiilor</w:t>
      </w:r>
      <w:r w:rsidR="00437878" w:rsidRPr="00DB46BE">
        <w:rPr>
          <w:b/>
        </w:rPr>
        <w:t>, cu modificările și completările ulterioare.</w:t>
      </w:r>
    </w:p>
    <w:p w:rsidR="00F6313E" w:rsidRDefault="00437878" w:rsidP="00437878">
      <w:pPr>
        <w:spacing w:line="276" w:lineRule="auto"/>
        <w:ind w:left="-284" w:right="-143"/>
        <w:jc w:val="both"/>
        <w:rPr>
          <w:lang w:val="en-US"/>
        </w:rPr>
      </w:pPr>
      <w:r w:rsidRPr="00DB46BE">
        <w:tab/>
        <w:t xml:space="preserve">            </w:t>
      </w:r>
      <w:r w:rsidR="00F6313E" w:rsidRPr="00DB46BE">
        <w:t>Atribuțiile îndeplinite de responsabilul tehnic</w:t>
      </w:r>
      <w:r w:rsidR="00F6313E" w:rsidRPr="00DB46BE">
        <w:rPr>
          <w:lang w:val="en-US"/>
        </w:rPr>
        <w:t>;</w:t>
      </w:r>
    </w:p>
    <w:p w:rsidR="00F6313E" w:rsidRPr="00DB46BE" w:rsidRDefault="00F6313E" w:rsidP="00437878">
      <w:pPr>
        <w:spacing w:line="276" w:lineRule="auto"/>
        <w:ind w:left="-284" w:right="-143"/>
        <w:jc w:val="both"/>
      </w:pPr>
      <w:r w:rsidRPr="00DB46BE">
        <w:tab/>
      </w:r>
      <w:r w:rsidRPr="00DB46BE">
        <w:tab/>
        <w:t xml:space="preserve">Expertizarea tehnică a proiectelor, a execuţiei lucrărilor şi a construcţiilor, situațiile în care </w:t>
      </w:r>
      <w:r w:rsidR="00437878" w:rsidRPr="00DB46BE">
        <w:tab/>
      </w:r>
      <w:r w:rsidR="00437878" w:rsidRPr="00DB46BE">
        <w:tab/>
      </w:r>
      <w:r w:rsidRPr="00DB46BE">
        <w:t>poate realiza și de către cine;</w:t>
      </w:r>
    </w:p>
    <w:p w:rsidR="004D2A29" w:rsidRPr="00DB46BE" w:rsidRDefault="00F6313E" w:rsidP="00437878">
      <w:pPr>
        <w:spacing w:line="276" w:lineRule="auto"/>
        <w:ind w:left="-284" w:right="-143"/>
        <w:jc w:val="both"/>
        <w:rPr>
          <w:b/>
          <w:lang w:val="en-US"/>
        </w:rPr>
      </w:pPr>
      <w:r w:rsidRPr="00DB46BE">
        <w:tab/>
      </w:r>
      <w:r w:rsidRPr="00DB46BE">
        <w:tab/>
        <w:t xml:space="preserve">Realizarea verificării calităţii lucrărilor executate la construcţiile noi şi la intervenţiile la </w:t>
      </w:r>
      <w:r w:rsidR="00437878" w:rsidRPr="00DB46BE">
        <w:tab/>
      </w:r>
      <w:r w:rsidR="00437878" w:rsidRPr="00DB46BE">
        <w:tab/>
      </w:r>
      <w:r w:rsidR="00437878" w:rsidRPr="00DB46BE">
        <w:tab/>
      </w:r>
      <w:r w:rsidRPr="00DB46BE">
        <w:t xml:space="preserve">construcţiile existente în vederea asigurării nivelului de calitate corespunzător cerinţelor </w:t>
      </w:r>
      <w:r w:rsidR="00437878" w:rsidRPr="00DB46BE">
        <w:tab/>
      </w:r>
      <w:r w:rsidR="00437878" w:rsidRPr="00DB46BE">
        <w:tab/>
        <w:t xml:space="preserve">            </w:t>
      </w:r>
      <w:r w:rsidRPr="00DB46BE">
        <w:t>fundamentale</w:t>
      </w:r>
      <w:r w:rsidR="00FA715B" w:rsidRPr="00DB46BE">
        <w:rPr>
          <w:lang w:val="en-US"/>
        </w:rPr>
        <w:t>;</w:t>
      </w:r>
    </w:p>
    <w:p w:rsidR="00FC5706" w:rsidRPr="00DB46BE" w:rsidRDefault="00640923" w:rsidP="00437878">
      <w:pPr>
        <w:spacing w:line="276" w:lineRule="auto"/>
        <w:ind w:left="-284" w:right="-143"/>
        <w:jc w:val="both"/>
        <w:rPr>
          <w:b/>
        </w:rPr>
      </w:pPr>
      <w:r w:rsidRPr="00DB46BE">
        <w:rPr>
          <w:b/>
        </w:rPr>
        <w:t>10</w:t>
      </w:r>
      <w:r w:rsidR="005E77A7" w:rsidRPr="00DB46BE">
        <w:rPr>
          <w:b/>
        </w:rPr>
        <w:t xml:space="preserve">. </w:t>
      </w:r>
      <w:r w:rsidR="00FC5706" w:rsidRPr="00DB46BE">
        <w:rPr>
          <w:b/>
        </w:rPr>
        <w:t>Atribuţiile Serv</w:t>
      </w:r>
      <w:r w:rsidR="005E77A7" w:rsidRPr="00DB46BE">
        <w:rPr>
          <w:b/>
        </w:rPr>
        <w:t xml:space="preserve">iciului </w:t>
      </w:r>
      <w:r w:rsidR="00437878" w:rsidRPr="00DB46BE">
        <w:rPr>
          <w:b/>
        </w:rPr>
        <w:t>Fonduri Europene</w:t>
      </w:r>
      <w:r w:rsidRPr="00DB46BE">
        <w:rPr>
          <w:b/>
        </w:rPr>
        <w:t xml:space="preserve"> din cadrul Direcției Generale Programe de Dezvoltare Urbană și Fonduri Europene</w:t>
      </w:r>
      <w:r w:rsidR="00203732" w:rsidRPr="00DB46BE">
        <w:t xml:space="preserve"> </w:t>
      </w:r>
      <w:r w:rsidR="00203732" w:rsidRPr="00DB46BE">
        <w:rPr>
          <w:b/>
        </w:rPr>
        <w:t xml:space="preserve">conform Regulamentului de Organizare şi Funcţionarea al Primăriei Sectorului 2, disponibil pe site-ul Primăriei Sectorului 2, </w:t>
      </w:r>
      <w:hyperlink r:id="rId8" w:history="1">
        <w:r w:rsidRPr="00DB46BE">
          <w:rPr>
            <w:rStyle w:val="Hyperlink"/>
            <w:b/>
          </w:rPr>
          <w:t>www.ps2.ro</w:t>
        </w:r>
      </w:hyperlink>
      <w:r w:rsidR="005E77A7" w:rsidRPr="00DB46BE">
        <w:rPr>
          <w:b/>
        </w:rPr>
        <w:t>.</w:t>
      </w:r>
    </w:p>
    <w:p w:rsidR="00347AB6" w:rsidRPr="00DB46BE" w:rsidRDefault="00347AB6" w:rsidP="00437878">
      <w:pPr>
        <w:spacing w:line="360" w:lineRule="auto"/>
        <w:ind w:right="-143"/>
        <w:jc w:val="both"/>
        <w:rPr>
          <w:b/>
        </w:rPr>
      </w:pPr>
    </w:p>
    <w:p w:rsidR="00BD0198" w:rsidRDefault="00BD0198" w:rsidP="00BD0198">
      <w:pPr>
        <w:pStyle w:val="Listparagraf"/>
        <w:autoSpaceDE w:val="0"/>
        <w:autoSpaceDN w:val="0"/>
        <w:adjustRightInd w:val="0"/>
        <w:spacing w:after="0" w:line="264" w:lineRule="auto"/>
        <w:ind w:left="644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BD0198" w:rsidRPr="00BD0198" w:rsidRDefault="00BD0198" w:rsidP="0040784B">
      <w:pPr>
        <w:rPr>
          <w:b/>
          <w:i/>
        </w:rPr>
      </w:pPr>
      <w:r>
        <w:rPr>
          <w:b/>
          <w:sz w:val="26"/>
          <w:szCs w:val="26"/>
        </w:rPr>
        <w:tab/>
      </w:r>
      <w:bookmarkStart w:id="0" w:name="_GoBack"/>
      <w:bookmarkEnd w:id="0"/>
    </w:p>
    <w:sectPr w:rsidR="00BD0198" w:rsidRPr="00BD0198" w:rsidSect="00DB46BE">
      <w:pgSz w:w="11906" w:h="16838"/>
      <w:pgMar w:top="567" w:right="1134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421" w:rsidRDefault="00A20421" w:rsidP="00437878">
      <w:r>
        <w:separator/>
      </w:r>
    </w:p>
  </w:endnote>
  <w:endnote w:type="continuationSeparator" w:id="0">
    <w:p w:rsidR="00A20421" w:rsidRDefault="00A20421" w:rsidP="0043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421" w:rsidRDefault="00A20421" w:rsidP="00437878">
      <w:r>
        <w:separator/>
      </w:r>
    </w:p>
  </w:footnote>
  <w:footnote w:type="continuationSeparator" w:id="0">
    <w:p w:rsidR="00A20421" w:rsidRDefault="00A20421" w:rsidP="00437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5E4E8D"/>
    <w:multiLevelType w:val="hybridMultilevel"/>
    <w:tmpl w:val="81E819B2"/>
    <w:lvl w:ilvl="0" w:tplc="41860A96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0447638"/>
    <w:multiLevelType w:val="hybridMultilevel"/>
    <w:tmpl w:val="F8E6271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52D23E7"/>
    <w:multiLevelType w:val="hybridMultilevel"/>
    <w:tmpl w:val="947A6FDA"/>
    <w:lvl w:ilvl="0" w:tplc="C286057A">
      <w:start w:val="1"/>
      <w:numFmt w:val="lowerLetter"/>
      <w:lvlText w:val="%1)"/>
      <w:lvlJc w:val="left"/>
      <w:pPr>
        <w:ind w:left="100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4BBB7F01"/>
    <w:multiLevelType w:val="hybridMultilevel"/>
    <w:tmpl w:val="1B284AFA"/>
    <w:lvl w:ilvl="0" w:tplc="A646652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05C2E"/>
    <w:multiLevelType w:val="hybridMultilevel"/>
    <w:tmpl w:val="F71C8B5C"/>
    <w:lvl w:ilvl="0" w:tplc="A862433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C711914"/>
    <w:multiLevelType w:val="hybridMultilevel"/>
    <w:tmpl w:val="8EE0BC3C"/>
    <w:lvl w:ilvl="0" w:tplc="B6FEC3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79436065"/>
    <w:multiLevelType w:val="hybridMultilevel"/>
    <w:tmpl w:val="76202012"/>
    <w:lvl w:ilvl="0" w:tplc="9606D4EA">
      <w:start w:val="1"/>
      <w:numFmt w:val="lowerLetter"/>
      <w:lvlText w:val="%1)"/>
      <w:lvlJc w:val="left"/>
      <w:pPr>
        <w:ind w:left="1004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7AA5628D"/>
    <w:multiLevelType w:val="hybridMultilevel"/>
    <w:tmpl w:val="320E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19443A"/>
    <w:multiLevelType w:val="hybridMultilevel"/>
    <w:tmpl w:val="565A1C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AF4218"/>
    <w:multiLevelType w:val="hybridMultilevel"/>
    <w:tmpl w:val="D22EB578"/>
    <w:lvl w:ilvl="0" w:tplc="69C051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F8C"/>
    <w:rsid w:val="000723D8"/>
    <w:rsid w:val="00076B5C"/>
    <w:rsid w:val="000E2B54"/>
    <w:rsid w:val="0014606B"/>
    <w:rsid w:val="001828F5"/>
    <w:rsid w:val="00203732"/>
    <w:rsid w:val="00257BFC"/>
    <w:rsid w:val="00277085"/>
    <w:rsid w:val="002A5562"/>
    <w:rsid w:val="00347AB6"/>
    <w:rsid w:val="003B6386"/>
    <w:rsid w:val="003C32B1"/>
    <w:rsid w:val="0040784B"/>
    <w:rsid w:val="00437878"/>
    <w:rsid w:val="004647E6"/>
    <w:rsid w:val="004D2A29"/>
    <w:rsid w:val="005864EE"/>
    <w:rsid w:val="005B098D"/>
    <w:rsid w:val="005B38D2"/>
    <w:rsid w:val="005E77A7"/>
    <w:rsid w:val="00640923"/>
    <w:rsid w:val="006678F9"/>
    <w:rsid w:val="006E0F8C"/>
    <w:rsid w:val="00726302"/>
    <w:rsid w:val="007B6229"/>
    <w:rsid w:val="00832234"/>
    <w:rsid w:val="008739EE"/>
    <w:rsid w:val="008A2D67"/>
    <w:rsid w:val="00911A67"/>
    <w:rsid w:val="00992A64"/>
    <w:rsid w:val="009B031C"/>
    <w:rsid w:val="009E26FD"/>
    <w:rsid w:val="00A20421"/>
    <w:rsid w:val="00AA7603"/>
    <w:rsid w:val="00B24E98"/>
    <w:rsid w:val="00B52A09"/>
    <w:rsid w:val="00B6207D"/>
    <w:rsid w:val="00BD0198"/>
    <w:rsid w:val="00BF0F4C"/>
    <w:rsid w:val="00BF2C0A"/>
    <w:rsid w:val="00D83D6D"/>
    <w:rsid w:val="00DB46BE"/>
    <w:rsid w:val="00EC29A6"/>
    <w:rsid w:val="00ED3FC9"/>
    <w:rsid w:val="00F6313E"/>
    <w:rsid w:val="00FA715B"/>
    <w:rsid w:val="00FC5706"/>
    <w:rsid w:val="00FF1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7D75CD-D9A7-4B8D-9B4F-81BCFEA3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20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Titlu4">
    <w:name w:val="heading 4"/>
    <w:basedOn w:val="Normal"/>
    <w:link w:val="Titlu4Caracter"/>
    <w:uiPriority w:val="9"/>
    <w:qFormat/>
    <w:rsid w:val="00911A67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6207D"/>
    <w:pPr>
      <w:spacing w:after="160" w:line="259" w:lineRule="auto"/>
      <w:ind w:left="720"/>
      <w:contextualSpacing/>
    </w:pPr>
    <w:rPr>
      <w:rFonts w:ascii="Calibri" w:eastAsia="Calibri" w:hAnsi="Calibri"/>
      <w:noProof/>
      <w:sz w:val="22"/>
      <w:szCs w:val="22"/>
      <w:lang w:eastAsia="en-US"/>
    </w:rPr>
  </w:style>
  <w:style w:type="character" w:styleId="Hyperlink">
    <w:name w:val="Hyperlink"/>
    <w:basedOn w:val="Fontdeparagrafimplicit"/>
    <w:uiPriority w:val="99"/>
    <w:unhideWhenUsed/>
    <w:rsid w:val="00640923"/>
    <w:rPr>
      <w:color w:val="0000FF" w:themeColor="hyperlink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rsid w:val="00911A6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Robust">
    <w:name w:val="Strong"/>
    <w:basedOn w:val="Fontdeparagrafimplicit"/>
    <w:uiPriority w:val="22"/>
    <w:qFormat/>
    <w:rsid w:val="00911A67"/>
    <w:rPr>
      <w:b/>
      <w:b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47AB6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47AB6"/>
    <w:rPr>
      <w:rFonts w:ascii="Segoe UI" w:eastAsia="Times New Roman" w:hAnsi="Segoe UI" w:cs="Segoe UI"/>
      <w:sz w:val="18"/>
      <w:szCs w:val="1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437878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37878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unhideWhenUsed/>
    <w:rsid w:val="00437878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37878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08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2023-03-27T09:07:00Z</cp:lastPrinted>
  <dcterms:created xsi:type="dcterms:W3CDTF">2023-03-21T13:02:00Z</dcterms:created>
  <dcterms:modified xsi:type="dcterms:W3CDTF">2023-05-04T04:25:00Z</dcterms:modified>
</cp:coreProperties>
</file>