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8E" w:rsidRDefault="0093048E">
      <w:r w:rsidRPr="0093048E">
        <w:drawing>
          <wp:inline distT="0" distB="0" distL="0" distR="0">
            <wp:extent cx="5760720" cy="1071519"/>
            <wp:effectExtent l="1905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48E" w:rsidRDefault="0093048E" w:rsidP="0093048E"/>
    <w:p w:rsidR="0093048E" w:rsidRPr="00291687" w:rsidRDefault="0093048E" w:rsidP="0093048E">
      <w:pPr>
        <w:pStyle w:val="Titlu6"/>
        <w:rPr>
          <w:rFonts w:ascii="Bookman Old Style" w:hAnsi="Bookman Old Style"/>
        </w:rPr>
      </w:pPr>
      <w:r>
        <w:t xml:space="preserve">Atribuţiile din fişa postului de consilier </w:t>
      </w:r>
      <w:proofErr w:type="spellStart"/>
      <w:r>
        <w:t>debutant-</w:t>
      </w:r>
      <w:proofErr w:type="spellEnd"/>
      <w:r>
        <w:t xml:space="preserve"> Serviciul Registratură, Relaţii cu Publicul</w:t>
      </w:r>
      <w:r w:rsidRPr="0093048E">
        <w:rPr>
          <w:rFonts w:ascii="Bookman Old Style" w:hAnsi="Bookman Old Style"/>
        </w:rPr>
        <w:t xml:space="preserve"> </w:t>
      </w:r>
    </w:p>
    <w:p w:rsidR="004D4DD0" w:rsidRDefault="004D4DD0" w:rsidP="0093048E">
      <w:pPr>
        <w:jc w:val="center"/>
      </w:pPr>
    </w:p>
    <w:p w:rsidR="0093048E" w:rsidRDefault="0093048E" w:rsidP="0093048E">
      <w:pPr>
        <w:jc w:val="center"/>
      </w:pP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 xml:space="preserve">Menține legătura directă cu cetățenii, în ceea ce privește problemele acestora care intră în sfera de competență a administrației publice locale, prin activitatea de relații cu publicul. 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Îndrumă şi oferă informaţii cu privire la problemele cu care se confruntă petenţii care se adresează   Primăriei Sectorului 2.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Pune la dispoziţia cetăţenilor informaţiile solicitate cu privire la întocmirea şi elaborarea documentaţiei de specialitate – avize, acorduri, certificate, autorizaţii</w:t>
      </w:r>
      <w:r>
        <w:t xml:space="preserve">, etc. – elaborate de structurile </w:t>
      </w:r>
      <w:r w:rsidRPr="00EE2BF9">
        <w:t>de specialitate al</w:t>
      </w:r>
      <w:r>
        <w:t>e</w:t>
      </w:r>
      <w:r w:rsidRPr="00EE2BF9">
        <w:t xml:space="preserve"> Primarului Sectorului 2.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Gestionează primirea și înregistrarea în aplicația INFOCET a corespondenței depusă direct de petent la Centrul de Relaţii cu Publicul sau transmisă prin alte mijloace de comunicare, respectiv poştă, fax, e-mail, servicii de curierat şi corespondenţă specială.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Gestionează înregistrarea în aplicația INFOCET a corespondenței care iese din instituţie precum şi cea între direcţiile instituţiei.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Vizualizează şi verifică circulația documentelor prin aplicația INFOCET.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Informează cetăţenii la solicitarea acestora asupra stadiului de soluţionare a lucrărilor în termenul stabilit de lege.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 xml:space="preserve">Clasează petiţiile anonime şi cele în care nu sunt trecute datele de identificare, conform O.G. 27/2002 </w:t>
      </w:r>
      <w:r w:rsidRPr="00EE2BF9">
        <w:rPr>
          <w:lang w:eastAsia="ro-RO"/>
        </w:rPr>
        <w:t>privind reglementarea activităţii de soluţionare a petiţiilor</w:t>
      </w:r>
      <w:r w:rsidRPr="00EE2BF9">
        <w:t>, cu modificările şi completările ulterioare.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Redirecţionează petiţiile greşit îndreptate către autorităţile sau instituţiile publice care au ca atribuţii rezolvarea problemelor sesizate.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Gestionează procesul de transmitere a corespondenţei instituţiei prin intermediul serviciilor poştale şi serviciilor de curierat.</w:t>
      </w:r>
    </w:p>
    <w:p w:rsidR="0093048E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Repartizează confirmările aferente corespondenţei emi</w:t>
      </w:r>
      <w:r>
        <w:t>se de prestator către structurile</w:t>
      </w:r>
      <w:r w:rsidRPr="00EE2BF9">
        <w:t xml:space="preserve"> de specialitate după înregistrarea acestora în registrul de evidență.</w:t>
      </w:r>
    </w:p>
    <w:p w:rsidR="0093048E" w:rsidRPr="0093048E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93048E">
        <w:t>Înregistrează factura emisă de prestator şi  întocmeşte documentaţia necesara în vederea predării acesteia Direcției Economice, cuprinzând lista de verificare, nota de fundamentare și procesul verbal de recepție, însoțite de o adresă de înaintare. Asigură obţinerea vizei „ Bun de plată”.</w:t>
      </w:r>
    </w:p>
    <w:p w:rsidR="0093048E" w:rsidRPr="008C2CFA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color w:val="FF0000"/>
        </w:rPr>
      </w:pPr>
      <w:r w:rsidRPr="0093048E">
        <w:t xml:space="preserve">Înregistrează facturile electronice primite de la Direcţia Economică în aplicaţia </w:t>
      </w:r>
      <w:proofErr w:type="spellStart"/>
      <w:r w:rsidRPr="0093048E">
        <w:t>E-Factură</w:t>
      </w:r>
      <w:proofErr w:type="spellEnd"/>
      <w:r w:rsidRPr="0093048E">
        <w:t xml:space="preserve"> şi le transmite structurilor de specialitate în funcţie de specificul achiziţiei.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Primeşte şi ţine evidenţa corespondenţei adresate Primăriei Sectorului 2.</w:t>
      </w:r>
    </w:p>
    <w:p w:rsidR="0093048E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t>Multiplică documentele necesare desfășurării activității.</w:t>
      </w:r>
    </w:p>
    <w:p w:rsidR="0093048E" w:rsidRPr="00EE2BF9" w:rsidRDefault="0093048E" w:rsidP="009304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E2BF9">
        <w:rPr>
          <w:noProof/>
        </w:rPr>
        <w:t xml:space="preserve">Efectuează </w:t>
      </w:r>
      <w:r w:rsidRPr="00EE2BF9">
        <w:rPr>
          <w:i/>
          <w:noProof/>
        </w:rPr>
        <w:t>orice altă sarcină profesională</w:t>
      </w:r>
      <w:r w:rsidRPr="00EE2BF9">
        <w:rPr>
          <w:b/>
          <w:noProof/>
        </w:rPr>
        <w:t xml:space="preserve"> </w:t>
      </w:r>
      <w:r w:rsidRPr="00EE2BF9">
        <w:rPr>
          <w:noProof/>
        </w:rPr>
        <w:t xml:space="preserve">care are legătură cu atribuţiile serviciului, solicitată de </w:t>
      </w:r>
      <w:r w:rsidRPr="00EE2BF9">
        <w:rPr>
          <w:bCs/>
        </w:rPr>
        <w:t xml:space="preserve"> Șeful Serviciului sau Directorul Executiv.</w:t>
      </w:r>
    </w:p>
    <w:p w:rsidR="0093048E" w:rsidRPr="0093048E" w:rsidRDefault="0093048E" w:rsidP="0093048E">
      <w:pPr>
        <w:jc w:val="center"/>
      </w:pPr>
    </w:p>
    <w:sectPr w:rsidR="0093048E" w:rsidRPr="0093048E" w:rsidSect="004D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Bookman Demi">
    <w:altName w:val="Times New Roman"/>
    <w:panose1 w:val="02050804040505020204"/>
    <w:charset w:val="EE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C6"/>
    <w:multiLevelType w:val="hybridMultilevel"/>
    <w:tmpl w:val="E3D4BA0A"/>
    <w:lvl w:ilvl="0" w:tplc="C0A2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48E"/>
    <w:rsid w:val="004D4DD0"/>
    <w:rsid w:val="0093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D0"/>
  </w:style>
  <w:style w:type="paragraph" w:styleId="Titlu6">
    <w:name w:val="heading 6"/>
    <w:basedOn w:val="Normal"/>
    <w:next w:val="Normal"/>
    <w:link w:val="Titlu6Caracter"/>
    <w:qFormat/>
    <w:rsid w:val="0093048E"/>
    <w:pPr>
      <w:keepNext/>
      <w:spacing w:after="0" w:line="240" w:lineRule="auto"/>
      <w:jc w:val="center"/>
      <w:outlineLvl w:val="5"/>
    </w:pPr>
    <w:rPr>
      <w:rFonts w:ascii="ITC Bookman Demi" w:eastAsia="Times New Roman" w:hAnsi="ITC Bookman Demi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3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48E"/>
    <w:rPr>
      <w:rFonts w:ascii="Tahoma" w:hAnsi="Tahoma" w:cs="Tahoma"/>
      <w:sz w:val="16"/>
      <w:szCs w:val="16"/>
    </w:rPr>
  </w:style>
  <w:style w:type="character" w:customStyle="1" w:styleId="Titlu6Caracter">
    <w:name w:val="Titlu 6 Caracter"/>
    <w:basedOn w:val="Fontdeparagrafimplicit"/>
    <w:link w:val="Titlu6"/>
    <w:rsid w:val="0093048E"/>
    <w:rPr>
      <w:rFonts w:ascii="ITC Bookman Demi" w:eastAsia="Times New Roman" w:hAnsi="ITC Bookman Demi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2023-04-05T10:06:00Z</dcterms:created>
  <dcterms:modified xsi:type="dcterms:W3CDTF">2023-04-05T10:10:00Z</dcterms:modified>
</cp:coreProperties>
</file>