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2B1" w:rsidRPr="00FC5706" w:rsidRDefault="003C32B1" w:rsidP="00FC5706">
      <w:pPr>
        <w:tabs>
          <w:tab w:val="center" w:pos="4680"/>
          <w:tab w:val="right" w:pos="9360"/>
        </w:tabs>
        <w:rPr>
          <w:rFonts w:asciiTheme="minorHAnsi" w:eastAsiaTheme="minorHAnsi" w:hAnsiTheme="minorHAnsi" w:cstheme="minorBidi"/>
          <w:sz w:val="22"/>
          <w:szCs w:val="22"/>
          <w:lang w:eastAsia="en-US"/>
        </w:rPr>
      </w:pPr>
    </w:p>
    <w:p w:rsidR="003E1B39" w:rsidRDefault="003E1B39" w:rsidP="003C32B1">
      <w:pPr>
        <w:autoSpaceDE w:val="0"/>
        <w:autoSpaceDN w:val="0"/>
        <w:adjustRightInd w:val="0"/>
        <w:ind w:left="720"/>
        <w:jc w:val="center"/>
        <w:rPr>
          <w:b/>
          <w:bCs/>
          <w:i/>
          <w:iCs/>
          <w:color w:val="000000"/>
          <w:sz w:val="26"/>
          <w:szCs w:val="26"/>
          <w:lang w:eastAsia="en-US"/>
        </w:rPr>
      </w:pPr>
      <w:r w:rsidRPr="003E1B39">
        <w:rPr>
          <w:rFonts w:ascii="Calibri" w:eastAsia="Calibri" w:hAnsi="Calibri"/>
          <w:noProof/>
          <w:sz w:val="22"/>
          <w:szCs w:val="22"/>
          <w:lang w:val="en-US" w:eastAsia="en-US"/>
        </w:rPr>
        <w:drawing>
          <wp:anchor distT="0" distB="0" distL="114300" distR="114300" simplePos="0" relativeHeight="251661312" behindDoc="0" locked="0" layoutInCell="1" allowOverlap="1" wp14:anchorId="250591C8" wp14:editId="61B66D10">
            <wp:simplePos x="0" y="0"/>
            <wp:positionH relativeFrom="margin">
              <wp:align>left</wp:align>
            </wp:positionH>
            <wp:positionV relativeFrom="margin">
              <wp:posOffset>360680</wp:posOffset>
            </wp:positionV>
            <wp:extent cx="5943600" cy="110553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3E1B39" w:rsidRDefault="003E1B39" w:rsidP="00726302">
      <w:pPr>
        <w:autoSpaceDE w:val="0"/>
        <w:autoSpaceDN w:val="0"/>
        <w:adjustRightInd w:val="0"/>
        <w:spacing w:line="276" w:lineRule="auto"/>
        <w:ind w:left="720"/>
        <w:jc w:val="center"/>
        <w:rPr>
          <w:b/>
          <w:bCs/>
          <w:i/>
          <w:iCs/>
          <w:color w:val="000000"/>
          <w:sz w:val="26"/>
          <w:szCs w:val="26"/>
          <w:lang w:eastAsia="en-US"/>
        </w:rPr>
      </w:pPr>
    </w:p>
    <w:p w:rsidR="003C32B1" w:rsidRPr="002A5562" w:rsidRDefault="003C32B1" w:rsidP="00726302">
      <w:pPr>
        <w:autoSpaceDE w:val="0"/>
        <w:autoSpaceDN w:val="0"/>
        <w:adjustRightInd w:val="0"/>
        <w:spacing w:line="276" w:lineRule="auto"/>
        <w:ind w:left="720"/>
        <w:jc w:val="center"/>
        <w:rPr>
          <w:b/>
          <w:bCs/>
          <w:i/>
          <w:iCs/>
          <w:color w:val="000000"/>
          <w:sz w:val="26"/>
          <w:szCs w:val="26"/>
          <w:lang w:eastAsia="en-US"/>
        </w:rPr>
      </w:pPr>
      <w:r w:rsidRPr="002A5562">
        <w:rPr>
          <w:b/>
          <w:bCs/>
          <w:i/>
          <w:iCs/>
          <w:color w:val="000000"/>
          <w:sz w:val="26"/>
          <w:szCs w:val="26"/>
          <w:lang w:eastAsia="en-US"/>
        </w:rPr>
        <w:t>TEMATICA</w:t>
      </w:r>
    </w:p>
    <w:p w:rsidR="00B52A09" w:rsidRDefault="00B52A09" w:rsidP="00726302">
      <w:pPr>
        <w:spacing w:line="276" w:lineRule="auto"/>
        <w:ind w:left="-284" w:right="-284"/>
        <w:jc w:val="center"/>
        <w:rPr>
          <w:b/>
          <w:bCs/>
          <w:i/>
          <w:iCs/>
          <w:color w:val="000000"/>
          <w:sz w:val="26"/>
          <w:szCs w:val="26"/>
          <w:lang w:eastAsia="en-US"/>
        </w:rPr>
      </w:pPr>
      <w:r w:rsidRPr="00B52A09">
        <w:rPr>
          <w:b/>
          <w:bCs/>
          <w:i/>
          <w:iCs/>
          <w:color w:val="000000"/>
          <w:sz w:val="26"/>
          <w:szCs w:val="26"/>
          <w:lang w:eastAsia="en-US"/>
        </w:rPr>
        <w:t xml:space="preserve">la concursul pentru ocuparea </w:t>
      </w:r>
      <w:proofErr w:type="spellStart"/>
      <w:r w:rsidRPr="00B52A09">
        <w:rPr>
          <w:b/>
          <w:bCs/>
          <w:i/>
          <w:iCs/>
          <w:color w:val="000000"/>
          <w:sz w:val="26"/>
          <w:szCs w:val="26"/>
          <w:lang w:eastAsia="en-US"/>
        </w:rPr>
        <w:t>funcţiei</w:t>
      </w:r>
      <w:proofErr w:type="spellEnd"/>
      <w:r w:rsidRPr="00B52A09">
        <w:rPr>
          <w:b/>
          <w:bCs/>
          <w:i/>
          <w:iCs/>
          <w:color w:val="000000"/>
          <w:sz w:val="26"/>
          <w:szCs w:val="26"/>
          <w:lang w:eastAsia="en-US"/>
        </w:rPr>
        <w:t xml:space="preserve"> publice vacante de consilier, </w:t>
      </w:r>
    </w:p>
    <w:p w:rsidR="00B52A09" w:rsidRDefault="00B52A09" w:rsidP="00726302">
      <w:pPr>
        <w:spacing w:line="276" w:lineRule="auto"/>
        <w:ind w:left="-284" w:right="-284"/>
        <w:jc w:val="center"/>
        <w:rPr>
          <w:b/>
          <w:bCs/>
          <w:i/>
          <w:iCs/>
          <w:color w:val="000000"/>
          <w:sz w:val="26"/>
          <w:szCs w:val="26"/>
          <w:lang w:eastAsia="en-US"/>
        </w:rPr>
      </w:pPr>
      <w:r w:rsidRPr="00B52A09">
        <w:rPr>
          <w:b/>
          <w:bCs/>
          <w:i/>
          <w:iCs/>
          <w:color w:val="000000"/>
          <w:sz w:val="26"/>
          <w:szCs w:val="26"/>
          <w:lang w:eastAsia="en-US"/>
        </w:rPr>
        <w:t>clasa I, grad profesional superior de la Serviciul Management Strategic</w:t>
      </w:r>
    </w:p>
    <w:p w:rsidR="00B52A09" w:rsidRDefault="00B52A09" w:rsidP="007B6229">
      <w:pPr>
        <w:ind w:left="-284" w:right="-284"/>
        <w:jc w:val="both"/>
        <w:rPr>
          <w:b/>
          <w:bCs/>
          <w:i/>
          <w:iCs/>
          <w:color w:val="000000"/>
          <w:sz w:val="26"/>
          <w:szCs w:val="26"/>
          <w:lang w:eastAsia="en-US"/>
        </w:rPr>
      </w:pPr>
    </w:p>
    <w:p w:rsidR="003E1B39" w:rsidRDefault="003E1B39" w:rsidP="007B6229">
      <w:pPr>
        <w:ind w:left="-284" w:right="-284"/>
        <w:jc w:val="both"/>
        <w:rPr>
          <w:b/>
          <w:bCs/>
          <w:i/>
          <w:iCs/>
          <w:color w:val="000000"/>
          <w:sz w:val="26"/>
          <w:szCs w:val="26"/>
          <w:lang w:eastAsia="en-US"/>
        </w:rPr>
      </w:pPr>
    </w:p>
    <w:p w:rsidR="007B6229" w:rsidRPr="00FE0CDF" w:rsidRDefault="007B6229" w:rsidP="003E1B39">
      <w:pPr>
        <w:spacing w:line="276" w:lineRule="auto"/>
        <w:ind w:left="-284" w:right="-284"/>
        <w:jc w:val="both"/>
        <w:rPr>
          <w:b/>
          <w:lang w:val="en-US"/>
        </w:rPr>
      </w:pPr>
      <w:r>
        <w:rPr>
          <w:b/>
          <w:lang w:val="it-IT"/>
        </w:rPr>
        <w:t>1</w:t>
      </w:r>
      <w:r w:rsidRPr="005E77A7">
        <w:rPr>
          <w:b/>
          <w:lang w:val="it-IT"/>
        </w:rPr>
        <w:t xml:space="preserve">. </w:t>
      </w:r>
      <w:r w:rsidRPr="00FE0CDF">
        <w:rPr>
          <w:b/>
          <w:lang w:val="it-IT"/>
        </w:rPr>
        <w:t>Constitu</w:t>
      </w:r>
      <w:proofErr w:type="spellStart"/>
      <w:r w:rsidRPr="00FE0CDF">
        <w:rPr>
          <w:b/>
        </w:rPr>
        <w:t>ția</w:t>
      </w:r>
      <w:proofErr w:type="spellEnd"/>
      <w:r w:rsidRPr="00FE0CDF">
        <w:rPr>
          <w:b/>
        </w:rPr>
        <w:t xml:space="preserve"> României, republicată</w:t>
      </w:r>
      <w:r w:rsidRPr="00FE0CDF">
        <w:rPr>
          <w:b/>
          <w:lang w:val="en-US"/>
        </w:rPr>
        <w:t>.</w:t>
      </w:r>
    </w:p>
    <w:p w:rsidR="007B6229" w:rsidRPr="00FE0CDF" w:rsidRDefault="007B6229" w:rsidP="003E1B39">
      <w:pPr>
        <w:spacing w:line="276" w:lineRule="auto"/>
        <w:ind w:left="567" w:right="-284"/>
        <w:jc w:val="both"/>
        <w:rPr>
          <w:lang w:val="it-IT"/>
        </w:rPr>
      </w:pPr>
      <w:r w:rsidRPr="00FE0CDF">
        <w:rPr>
          <w:lang w:val="it-IT"/>
        </w:rPr>
        <w:t>Drepturile, libertățile și îndatoririle fundamentale;</w:t>
      </w:r>
    </w:p>
    <w:p w:rsidR="007B6229" w:rsidRPr="00FE0CDF" w:rsidRDefault="007B6229" w:rsidP="003E1B39">
      <w:pPr>
        <w:spacing w:after="120" w:line="276" w:lineRule="auto"/>
        <w:ind w:left="567" w:right="-284"/>
        <w:jc w:val="both"/>
        <w:rPr>
          <w:lang w:val="it-IT"/>
        </w:rPr>
      </w:pPr>
      <w:r w:rsidRPr="00FE0CDF">
        <w:rPr>
          <w:lang w:val="it-IT"/>
        </w:rPr>
        <w:t>Administrația publică locală;</w:t>
      </w:r>
    </w:p>
    <w:p w:rsidR="007B6229" w:rsidRPr="00FE0CDF" w:rsidRDefault="007B6229" w:rsidP="003E1B39">
      <w:pPr>
        <w:spacing w:line="276" w:lineRule="auto"/>
        <w:ind w:left="-284" w:right="-284"/>
        <w:jc w:val="both"/>
        <w:rPr>
          <w:b/>
          <w:lang w:val="it-IT"/>
        </w:rPr>
      </w:pPr>
      <w:r w:rsidRPr="00FE0CDF">
        <w:rPr>
          <w:b/>
          <w:lang w:val="it-IT"/>
        </w:rPr>
        <w:t xml:space="preserve">2. Ordonanța  de  Urgență  nr. 57/2019  privind  Codul  administrativ,  cu  modificările  și </w:t>
      </w:r>
    </w:p>
    <w:p w:rsidR="007B6229" w:rsidRPr="00FE0CDF" w:rsidRDefault="007B6229" w:rsidP="003E1B39">
      <w:pPr>
        <w:spacing w:line="276" w:lineRule="auto"/>
        <w:ind w:left="-284" w:right="-284"/>
        <w:jc w:val="both"/>
        <w:rPr>
          <w:b/>
          <w:lang w:val="it-IT"/>
        </w:rPr>
      </w:pPr>
      <w:r w:rsidRPr="00FE0CDF">
        <w:rPr>
          <w:b/>
          <w:lang w:val="it-IT"/>
        </w:rPr>
        <w:t>completările ulterioare.</w:t>
      </w:r>
    </w:p>
    <w:p w:rsidR="007B6229" w:rsidRPr="00FE0CDF" w:rsidRDefault="007B6229" w:rsidP="003E1B39">
      <w:pPr>
        <w:spacing w:line="276" w:lineRule="auto"/>
        <w:ind w:left="-284" w:right="-284"/>
        <w:jc w:val="both"/>
      </w:pPr>
      <w:r w:rsidRPr="00FE0CDF">
        <w:rPr>
          <w:b/>
          <w:lang w:val="it-IT"/>
        </w:rPr>
        <w:tab/>
      </w:r>
      <w:r w:rsidRPr="00FE0CDF">
        <w:rPr>
          <w:b/>
          <w:bCs/>
          <w:lang w:val="it-IT"/>
        </w:rPr>
        <w:t xml:space="preserve"> </w:t>
      </w:r>
      <w:r w:rsidR="0014606B">
        <w:rPr>
          <w:b/>
          <w:bCs/>
          <w:lang w:val="it-IT"/>
        </w:rPr>
        <w:t xml:space="preserve">        </w:t>
      </w:r>
      <w:r w:rsidRPr="00FE0CDF">
        <w:t>Dispoziții generale;</w:t>
      </w:r>
    </w:p>
    <w:p w:rsidR="007B6229" w:rsidRPr="00FE0CDF" w:rsidRDefault="007B6229" w:rsidP="003E1B39">
      <w:pPr>
        <w:autoSpaceDE w:val="0"/>
        <w:autoSpaceDN w:val="0"/>
        <w:adjustRightInd w:val="0"/>
        <w:spacing w:after="120" w:line="276" w:lineRule="auto"/>
        <w:ind w:left="567" w:right="-284"/>
        <w:jc w:val="both"/>
      </w:pPr>
      <w:r w:rsidRPr="00FE0CDF">
        <w:t xml:space="preserve">Statutul </w:t>
      </w:r>
      <w:proofErr w:type="spellStart"/>
      <w:r w:rsidRPr="00FE0CDF">
        <w:t>funcţionarilor</w:t>
      </w:r>
      <w:proofErr w:type="spellEnd"/>
      <w:r w:rsidRPr="00FE0CDF">
        <w:t xml:space="preserve"> publici;</w:t>
      </w:r>
    </w:p>
    <w:p w:rsidR="007B6229" w:rsidRPr="00FE0CDF" w:rsidRDefault="007B6229" w:rsidP="003E1B39">
      <w:pPr>
        <w:spacing w:line="276" w:lineRule="auto"/>
        <w:ind w:left="-284" w:right="-284"/>
        <w:jc w:val="both"/>
        <w:rPr>
          <w:b/>
          <w:lang w:val="it-IT"/>
        </w:rPr>
      </w:pPr>
      <w:r w:rsidRPr="00FE0CDF">
        <w:rPr>
          <w:b/>
          <w:lang w:val="it-IT"/>
        </w:rPr>
        <w:t xml:space="preserve">3. Ordonanţa Guvernului nr. 137/2000 privind prevenirea şi sancţionarea tuturor formelor de discriminare, republicată, cu modificările şi completările ulterioare.   </w:t>
      </w:r>
    </w:p>
    <w:p w:rsidR="007B6229" w:rsidRPr="00FE0CDF" w:rsidRDefault="007B6229" w:rsidP="003E1B39">
      <w:pPr>
        <w:spacing w:line="276" w:lineRule="auto"/>
        <w:ind w:left="567" w:right="-284"/>
        <w:jc w:val="both"/>
      </w:pPr>
      <w:r w:rsidRPr="00FE0CDF">
        <w:t xml:space="preserve">Discriminarea </w:t>
      </w:r>
      <w:proofErr w:type="spellStart"/>
      <w:r w:rsidRPr="00FE0CDF">
        <w:t>şi</w:t>
      </w:r>
      <w:proofErr w:type="spellEnd"/>
      <w:r w:rsidRPr="00FE0CDF">
        <w:t xml:space="preserve"> </w:t>
      </w:r>
      <w:proofErr w:type="spellStart"/>
      <w:r w:rsidRPr="00FE0CDF">
        <w:t>hărţuirea</w:t>
      </w:r>
      <w:proofErr w:type="spellEnd"/>
      <w:r w:rsidRPr="00FE0CDF">
        <w:t xml:space="preserve"> morală la locul de muncă;</w:t>
      </w:r>
    </w:p>
    <w:p w:rsidR="007B6229" w:rsidRPr="00FE0CDF" w:rsidRDefault="007B6229" w:rsidP="003E1B39">
      <w:pPr>
        <w:spacing w:line="276" w:lineRule="auto"/>
        <w:ind w:left="567" w:right="-284"/>
        <w:jc w:val="both"/>
      </w:pPr>
      <w:r w:rsidRPr="00FE0CDF">
        <w:t>Dreptul la demnitate personală;</w:t>
      </w:r>
    </w:p>
    <w:p w:rsidR="007B6229" w:rsidRPr="00FE0CDF" w:rsidRDefault="007B6229" w:rsidP="003E1B39">
      <w:pPr>
        <w:spacing w:line="276" w:lineRule="auto"/>
        <w:ind w:left="567" w:right="-284"/>
        <w:jc w:val="both"/>
      </w:pPr>
      <w:r w:rsidRPr="00FE0CDF">
        <w:t xml:space="preserve">Consiliul </w:t>
      </w:r>
      <w:proofErr w:type="spellStart"/>
      <w:r w:rsidRPr="00FE0CDF">
        <w:t>Naţional</w:t>
      </w:r>
      <w:proofErr w:type="spellEnd"/>
      <w:r w:rsidRPr="00FE0CDF">
        <w:t xml:space="preserve"> pentru Combaterea Discriminării;</w:t>
      </w:r>
    </w:p>
    <w:p w:rsidR="007B6229" w:rsidRPr="00FE0CDF" w:rsidRDefault="007B6229" w:rsidP="003E1B39">
      <w:pPr>
        <w:spacing w:after="120" w:line="276" w:lineRule="auto"/>
        <w:ind w:left="567" w:right="-284"/>
        <w:jc w:val="both"/>
      </w:pPr>
      <w:proofErr w:type="spellStart"/>
      <w:r w:rsidRPr="00FE0CDF">
        <w:t>Sancţionarea</w:t>
      </w:r>
      <w:proofErr w:type="spellEnd"/>
      <w:r w:rsidRPr="00FE0CDF">
        <w:t xml:space="preserve"> formelor de discriminare;</w:t>
      </w:r>
    </w:p>
    <w:p w:rsidR="0014606B" w:rsidRDefault="0014606B" w:rsidP="003E1B39">
      <w:pPr>
        <w:spacing w:line="276" w:lineRule="auto"/>
        <w:ind w:left="-284" w:right="-284"/>
        <w:jc w:val="both"/>
        <w:rPr>
          <w:b/>
        </w:rPr>
      </w:pPr>
      <w:r>
        <w:rPr>
          <w:b/>
        </w:rPr>
        <w:t xml:space="preserve">4. </w:t>
      </w:r>
      <w:r w:rsidR="007B6229" w:rsidRPr="00FE0CDF">
        <w:rPr>
          <w:b/>
        </w:rPr>
        <w:t xml:space="preserve">Legea nr. 202/2002 privind egalitatea de </w:t>
      </w:r>
      <w:proofErr w:type="spellStart"/>
      <w:r w:rsidR="007B6229" w:rsidRPr="00FE0CDF">
        <w:rPr>
          <w:b/>
        </w:rPr>
        <w:t>şanse</w:t>
      </w:r>
      <w:proofErr w:type="spellEnd"/>
      <w:r w:rsidR="007B6229" w:rsidRPr="00FE0CDF">
        <w:rPr>
          <w:b/>
        </w:rPr>
        <w:t xml:space="preserve"> </w:t>
      </w:r>
      <w:proofErr w:type="spellStart"/>
      <w:r w:rsidR="007B6229" w:rsidRPr="00FE0CDF">
        <w:rPr>
          <w:b/>
        </w:rPr>
        <w:t>şi</w:t>
      </w:r>
      <w:proofErr w:type="spellEnd"/>
      <w:r w:rsidR="007B6229" w:rsidRPr="00FE0CDF">
        <w:rPr>
          <w:b/>
        </w:rPr>
        <w:t xml:space="preserve"> tratament între femei </w:t>
      </w:r>
      <w:proofErr w:type="spellStart"/>
      <w:r w:rsidR="007B6229" w:rsidRPr="00FE0CDF">
        <w:rPr>
          <w:b/>
        </w:rPr>
        <w:t>şi</w:t>
      </w:r>
      <w:proofErr w:type="spellEnd"/>
      <w:r w:rsidR="007B6229" w:rsidRPr="00FE0CDF">
        <w:rPr>
          <w:b/>
        </w:rPr>
        <w:t xml:space="preserve"> </w:t>
      </w:r>
      <w:proofErr w:type="spellStart"/>
      <w:r w:rsidR="007B6229" w:rsidRPr="00FE0CDF">
        <w:rPr>
          <w:b/>
        </w:rPr>
        <w:t>bărbaţi</w:t>
      </w:r>
      <w:proofErr w:type="spellEnd"/>
      <w:r w:rsidR="007B6229" w:rsidRPr="00FE0CDF">
        <w:rPr>
          <w:b/>
        </w:rPr>
        <w:t xml:space="preserve">, republicată, cu modificările </w:t>
      </w:r>
      <w:proofErr w:type="spellStart"/>
      <w:r w:rsidR="007B6229" w:rsidRPr="00FE0CDF">
        <w:rPr>
          <w:b/>
        </w:rPr>
        <w:t>şi</w:t>
      </w:r>
      <w:proofErr w:type="spellEnd"/>
      <w:r w:rsidR="007B6229" w:rsidRPr="00FE0CDF">
        <w:rPr>
          <w:b/>
        </w:rPr>
        <w:t xml:space="preserve"> completările ulterioare.</w:t>
      </w:r>
    </w:p>
    <w:p w:rsidR="0014606B" w:rsidRPr="00FE0CDF" w:rsidRDefault="0014606B" w:rsidP="003E1B39">
      <w:pPr>
        <w:autoSpaceDE w:val="0"/>
        <w:autoSpaceDN w:val="0"/>
        <w:adjustRightInd w:val="0"/>
        <w:spacing w:line="276" w:lineRule="auto"/>
        <w:ind w:left="567" w:right="-284"/>
        <w:jc w:val="both"/>
      </w:pPr>
      <w:r w:rsidRPr="00FE0CDF">
        <w:t xml:space="preserve">Egalitatea de </w:t>
      </w:r>
      <w:proofErr w:type="spellStart"/>
      <w:r w:rsidRPr="00FE0CDF">
        <w:t>şanse</w:t>
      </w:r>
      <w:proofErr w:type="spellEnd"/>
      <w:r w:rsidRPr="00FE0CDF">
        <w:t xml:space="preserve"> </w:t>
      </w:r>
      <w:proofErr w:type="spellStart"/>
      <w:r w:rsidRPr="00FE0CDF">
        <w:t>şi</w:t>
      </w:r>
      <w:proofErr w:type="spellEnd"/>
      <w:r w:rsidRPr="00FE0CDF">
        <w:t xml:space="preserve"> tratament între femei </w:t>
      </w:r>
      <w:proofErr w:type="spellStart"/>
      <w:r w:rsidRPr="00FE0CDF">
        <w:t>şi</w:t>
      </w:r>
      <w:proofErr w:type="spellEnd"/>
      <w:r w:rsidRPr="00FE0CDF">
        <w:t xml:space="preserve"> </w:t>
      </w:r>
      <w:proofErr w:type="spellStart"/>
      <w:r w:rsidRPr="00FE0CDF">
        <w:t>bărbaţi</w:t>
      </w:r>
      <w:proofErr w:type="spellEnd"/>
      <w:r w:rsidRPr="00FE0CDF">
        <w:t xml:space="preserve"> în domeniul muncii;</w:t>
      </w:r>
    </w:p>
    <w:p w:rsidR="0014606B" w:rsidRPr="00FE0CDF" w:rsidRDefault="0014606B" w:rsidP="003E1B39">
      <w:pPr>
        <w:autoSpaceDE w:val="0"/>
        <w:autoSpaceDN w:val="0"/>
        <w:adjustRightInd w:val="0"/>
        <w:spacing w:line="276" w:lineRule="auto"/>
        <w:ind w:left="567" w:right="-284"/>
        <w:jc w:val="both"/>
      </w:pPr>
      <w:proofErr w:type="spellStart"/>
      <w:r w:rsidRPr="00FE0CDF">
        <w:t>Agenţia</w:t>
      </w:r>
      <w:proofErr w:type="spellEnd"/>
      <w:r w:rsidRPr="00FE0CDF">
        <w:t xml:space="preserve"> </w:t>
      </w:r>
      <w:proofErr w:type="spellStart"/>
      <w:r w:rsidRPr="00FE0CDF">
        <w:t>Naţională</w:t>
      </w:r>
      <w:proofErr w:type="spellEnd"/>
      <w:r w:rsidRPr="00FE0CDF">
        <w:t xml:space="preserve"> pentru Egalitatea de </w:t>
      </w:r>
      <w:proofErr w:type="spellStart"/>
      <w:r w:rsidRPr="00FE0CDF">
        <w:t>Şanse</w:t>
      </w:r>
      <w:proofErr w:type="spellEnd"/>
      <w:r w:rsidRPr="00FE0CDF">
        <w:t xml:space="preserve"> între Femei </w:t>
      </w:r>
      <w:proofErr w:type="spellStart"/>
      <w:r w:rsidRPr="00FE0CDF">
        <w:t>şi</w:t>
      </w:r>
      <w:proofErr w:type="spellEnd"/>
      <w:r w:rsidRPr="00FE0CDF">
        <w:t xml:space="preserve"> </w:t>
      </w:r>
      <w:proofErr w:type="spellStart"/>
      <w:r w:rsidRPr="00FE0CDF">
        <w:t>Bărbaţi</w:t>
      </w:r>
      <w:proofErr w:type="spellEnd"/>
      <w:r w:rsidRPr="00FE0CDF">
        <w:t>;</w:t>
      </w:r>
    </w:p>
    <w:p w:rsidR="0014606B" w:rsidRPr="0014606B" w:rsidRDefault="0014606B" w:rsidP="003E1B39">
      <w:pPr>
        <w:spacing w:after="120" w:line="276" w:lineRule="auto"/>
        <w:ind w:left="567" w:right="-284"/>
        <w:jc w:val="both"/>
      </w:pPr>
      <w:proofErr w:type="spellStart"/>
      <w:r w:rsidRPr="00FE0CDF">
        <w:t>Soluţionarea</w:t>
      </w:r>
      <w:proofErr w:type="spellEnd"/>
      <w:r w:rsidRPr="00FE0CDF">
        <w:t xml:space="preserve"> sesizărilor </w:t>
      </w:r>
      <w:proofErr w:type="spellStart"/>
      <w:r w:rsidRPr="00FE0CDF">
        <w:t>şi</w:t>
      </w:r>
      <w:proofErr w:type="spellEnd"/>
      <w:r w:rsidRPr="00FE0CDF">
        <w:t xml:space="preserve"> </w:t>
      </w:r>
      <w:proofErr w:type="spellStart"/>
      <w:r w:rsidRPr="00FE0CDF">
        <w:t>reclamaţiilor</w:t>
      </w:r>
      <w:proofErr w:type="spellEnd"/>
      <w:r w:rsidRPr="00FE0CDF">
        <w:t xml:space="preserve"> privind discriminarea pe criteriul sex;</w:t>
      </w:r>
    </w:p>
    <w:p w:rsidR="0014606B" w:rsidRPr="00640923" w:rsidRDefault="0014606B" w:rsidP="003E1B39">
      <w:pPr>
        <w:spacing w:line="276" w:lineRule="auto"/>
        <w:ind w:left="-284" w:right="-284"/>
        <w:jc w:val="both"/>
        <w:rPr>
          <w:b/>
        </w:rPr>
      </w:pPr>
      <w:r>
        <w:rPr>
          <w:b/>
        </w:rPr>
        <w:t xml:space="preserve">5. </w:t>
      </w:r>
      <w:r w:rsidRPr="00640923">
        <w:rPr>
          <w:b/>
        </w:rPr>
        <w:t xml:space="preserve">HG nr. 907 din 29 noiembrie 2016 privind etapele de elaborare </w:t>
      </w:r>
      <w:proofErr w:type="spellStart"/>
      <w:r w:rsidRPr="00640923">
        <w:rPr>
          <w:b/>
        </w:rPr>
        <w:t>şi</w:t>
      </w:r>
      <w:proofErr w:type="spellEnd"/>
      <w:r w:rsidRPr="00640923">
        <w:rPr>
          <w:b/>
        </w:rPr>
        <w:t xml:space="preserve"> </w:t>
      </w:r>
      <w:proofErr w:type="spellStart"/>
      <w:r w:rsidRPr="00640923">
        <w:rPr>
          <w:b/>
        </w:rPr>
        <w:t>conţinutul</w:t>
      </w:r>
      <w:proofErr w:type="spellEnd"/>
      <w:r w:rsidRPr="00640923">
        <w:rPr>
          <w:b/>
        </w:rPr>
        <w:t xml:space="preserve">-cadru al </w:t>
      </w:r>
      <w:proofErr w:type="spellStart"/>
      <w:r w:rsidRPr="00640923">
        <w:rPr>
          <w:b/>
        </w:rPr>
        <w:t>documentaţiilor</w:t>
      </w:r>
      <w:proofErr w:type="spellEnd"/>
      <w:r w:rsidRPr="00640923">
        <w:rPr>
          <w:b/>
        </w:rPr>
        <w:t xml:space="preserve"> </w:t>
      </w:r>
      <w:proofErr w:type="spellStart"/>
      <w:r w:rsidRPr="00640923">
        <w:rPr>
          <w:b/>
        </w:rPr>
        <w:t>tehnicoeconomice</w:t>
      </w:r>
      <w:proofErr w:type="spellEnd"/>
      <w:r w:rsidRPr="00640923">
        <w:rPr>
          <w:b/>
        </w:rPr>
        <w:t xml:space="preserve"> aferente obiectivelor/proiectelor de </w:t>
      </w:r>
      <w:proofErr w:type="spellStart"/>
      <w:r w:rsidRPr="00640923">
        <w:rPr>
          <w:b/>
        </w:rPr>
        <w:t>investiţii</w:t>
      </w:r>
      <w:proofErr w:type="spellEnd"/>
      <w:r w:rsidRPr="00640923">
        <w:rPr>
          <w:b/>
        </w:rPr>
        <w:t xml:space="preserve"> </w:t>
      </w:r>
      <w:proofErr w:type="spellStart"/>
      <w:r w:rsidRPr="00640923">
        <w:rPr>
          <w:b/>
        </w:rPr>
        <w:t>finanţate</w:t>
      </w:r>
      <w:proofErr w:type="spellEnd"/>
      <w:r w:rsidRPr="00640923">
        <w:rPr>
          <w:b/>
        </w:rPr>
        <w:t xml:space="preserve"> din fonduri publice, cu modificările și completările ulterioare.</w:t>
      </w:r>
    </w:p>
    <w:p w:rsidR="0014606B" w:rsidRDefault="0014606B" w:rsidP="003E1B39">
      <w:pPr>
        <w:spacing w:after="120" w:line="276" w:lineRule="auto"/>
        <w:ind w:left="-284" w:right="-284"/>
        <w:jc w:val="both"/>
      </w:pPr>
      <w:r>
        <w:rPr>
          <w:b/>
        </w:rPr>
        <w:tab/>
        <w:t xml:space="preserve">          </w:t>
      </w:r>
      <w:r w:rsidRPr="0014606B">
        <w:t xml:space="preserve">Structura </w:t>
      </w:r>
      <w:proofErr w:type="spellStart"/>
      <w:r w:rsidRPr="0014606B">
        <w:t>documentaţíilor</w:t>
      </w:r>
      <w:proofErr w:type="spellEnd"/>
      <w:r w:rsidRPr="0014606B">
        <w:t xml:space="preserve"> </w:t>
      </w:r>
      <w:proofErr w:type="spellStart"/>
      <w:r w:rsidRPr="0014606B">
        <w:t>tehnico</w:t>
      </w:r>
      <w:proofErr w:type="spellEnd"/>
      <w:r w:rsidRPr="0014606B">
        <w:t xml:space="preserve">–economice aferente </w:t>
      </w:r>
      <w:proofErr w:type="spellStart"/>
      <w:r w:rsidRPr="0014606B">
        <w:t>investiţiilor</w:t>
      </w:r>
      <w:proofErr w:type="spellEnd"/>
      <w:r w:rsidRPr="0014606B">
        <w:t xml:space="preserve"> publice</w:t>
      </w:r>
      <w:r w:rsidR="00640923" w:rsidRPr="00640923">
        <w:t>;</w:t>
      </w:r>
    </w:p>
    <w:p w:rsidR="0014606B" w:rsidRPr="00640923" w:rsidRDefault="0014606B" w:rsidP="003E1B39">
      <w:pPr>
        <w:spacing w:line="276" w:lineRule="auto"/>
        <w:ind w:left="-284" w:right="-284"/>
        <w:jc w:val="both"/>
        <w:rPr>
          <w:b/>
        </w:rPr>
      </w:pPr>
      <w:r w:rsidRPr="0014606B">
        <w:rPr>
          <w:b/>
        </w:rPr>
        <w:t xml:space="preserve">6. </w:t>
      </w:r>
      <w:r w:rsidRPr="00640923">
        <w:rPr>
          <w:b/>
        </w:rPr>
        <w:t xml:space="preserve">Legea nr. 315 din 28 iunie 2004 privind dezvoltarea regionala în România, cu modificările </w:t>
      </w:r>
      <w:proofErr w:type="spellStart"/>
      <w:r w:rsidRPr="00640923">
        <w:rPr>
          <w:b/>
        </w:rPr>
        <w:t>şi</w:t>
      </w:r>
      <w:proofErr w:type="spellEnd"/>
      <w:r w:rsidRPr="00640923">
        <w:rPr>
          <w:b/>
        </w:rPr>
        <w:t xml:space="preserve"> completările ulterioare</w:t>
      </w:r>
      <w:r w:rsidR="00640923" w:rsidRPr="00640923">
        <w:rPr>
          <w:b/>
        </w:rPr>
        <w:t>.</w:t>
      </w:r>
    </w:p>
    <w:p w:rsidR="0014606B" w:rsidRDefault="00D83D6D" w:rsidP="003E1B39">
      <w:pPr>
        <w:spacing w:line="276" w:lineRule="auto"/>
        <w:ind w:left="-284" w:right="-284"/>
        <w:jc w:val="both"/>
      </w:pPr>
      <w:r>
        <w:rPr>
          <w:b/>
        </w:rPr>
        <w:tab/>
        <w:t xml:space="preserve">          </w:t>
      </w:r>
      <w:r w:rsidRPr="00D83D6D">
        <w:t>Dezvoltarea Regională în România</w:t>
      </w:r>
      <w:r w:rsidR="00BF0F4C" w:rsidRPr="00BF0F4C">
        <w:t>;</w:t>
      </w:r>
    </w:p>
    <w:p w:rsidR="00D83D6D" w:rsidRDefault="00D83D6D" w:rsidP="003E1B39">
      <w:pPr>
        <w:spacing w:line="276" w:lineRule="auto"/>
        <w:ind w:left="-284" w:right="-284"/>
        <w:jc w:val="both"/>
        <w:rPr>
          <w:b/>
        </w:rPr>
      </w:pPr>
      <w:r>
        <w:rPr>
          <w:b/>
        </w:rPr>
        <w:t xml:space="preserve">7. </w:t>
      </w:r>
      <w:r w:rsidRPr="00274EAB">
        <w:rPr>
          <w:b/>
        </w:rPr>
        <w:t xml:space="preserve">Planul </w:t>
      </w:r>
      <w:proofErr w:type="spellStart"/>
      <w:r w:rsidRPr="00274EAB">
        <w:rPr>
          <w:b/>
        </w:rPr>
        <w:t>Naţional</w:t>
      </w:r>
      <w:proofErr w:type="spellEnd"/>
      <w:r w:rsidRPr="00274EAB">
        <w:rPr>
          <w:b/>
        </w:rPr>
        <w:t xml:space="preserve"> pentru Redresare </w:t>
      </w:r>
      <w:proofErr w:type="spellStart"/>
      <w:r w:rsidRPr="00274EAB">
        <w:rPr>
          <w:b/>
        </w:rPr>
        <w:t>şi</w:t>
      </w:r>
      <w:proofErr w:type="spellEnd"/>
      <w:r w:rsidRPr="00274EAB">
        <w:rPr>
          <w:b/>
        </w:rPr>
        <w:t xml:space="preserve"> </w:t>
      </w:r>
      <w:proofErr w:type="spellStart"/>
      <w:r w:rsidRPr="00274EAB">
        <w:rPr>
          <w:b/>
        </w:rPr>
        <w:t>Rezilienţă</w:t>
      </w:r>
      <w:proofErr w:type="spellEnd"/>
      <w:r w:rsidR="00BF0F4C">
        <w:rPr>
          <w:b/>
        </w:rPr>
        <w:t>.</w:t>
      </w:r>
    </w:p>
    <w:p w:rsidR="00D83D6D" w:rsidRPr="00D83D6D" w:rsidRDefault="00D83D6D" w:rsidP="003E1B39">
      <w:pPr>
        <w:spacing w:line="276" w:lineRule="auto"/>
        <w:ind w:left="-284" w:right="-284"/>
        <w:jc w:val="both"/>
      </w:pPr>
      <w:r>
        <w:rPr>
          <w:b/>
        </w:rPr>
        <w:tab/>
        <w:t xml:space="preserve">          </w:t>
      </w:r>
      <w:r w:rsidRPr="00D83D6D">
        <w:t>Componenta 5 – Valul renovării</w:t>
      </w:r>
      <w:r w:rsidR="00BF0F4C" w:rsidRPr="00BF0F4C">
        <w:t>;</w:t>
      </w:r>
    </w:p>
    <w:p w:rsidR="00D83D6D" w:rsidRDefault="00D83D6D" w:rsidP="003E1B39">
      <w:pPr>
        <w:spacing w:after="120" w:line="276" w:lineRule="auto"/>
        <w:ind w:left="-284" w:right="-284"/>
        <w:jc w:val="both"/>
      </w:pPr>
      <w:r w:rsidRPr="00D83D6D">
        <w:tab/>
        <w:t xml:space="preserve">          Componenta 10 – Fondul local</w:t>
      </w:r>
      <w:r w:rsidR="00BF0F4C" w:rsidRPr="00BF0F4C">
        <w:t>;</w:t>
      </w:r>
    </w:p>
    <w:p w:rsidR="00640923" w:rsidRDefault="00D83D6D" w:rsidP="003E1B39">
      <w:pPr>
        <w:spacing w:line="276" w:lineRule="auto"/>
        <w:ind w:left="-284" w:right="-284"/>
        <w:jc w:val="both"/>
        <w:rPr>
          <w:b/>
        </w:rPr>
      </w:pPr>
      <w:r w:rsidRPr="00D83D6D">
        <w:rPr>
          <w:b/>
        </w:rPr>
        <w:t>8.</w:t>
      </w:r>
      <w:r w:rsidRPr="00D83D6D">
        <w:rPr>
          <w:b/>
        </w:rPr>
        <w:tab/>
      </w:r>
      <w:r w:rsidRPr="00640923">
        <w:rPr>
          <w:b/>
        </w:rPr>
        <w:t>Regulamentul (UE) nr. 1303/2013 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w:t>
      </w:r>
      <w:r w:rsidR="00BF0F4C">
        <w:rPr>
          <w:b/>
        </w:rPr>
        <w:t>E) nr. 1083/2006 al Consiliului.</w:t>
      </w:r>
    </w:p>
    <w:p w:rsidR="003E1B39" w:rsidRDefault="003E1B39" w:rsidP="003E1B39">
      <w:pPr>
        <w:spacing w:line="276" w:lineRule="auto"/>
        <w:ind w:left="-284" w:right="-284"/>
        <w:jc w:val="both"/>
        <w:rPr>
          <w:b/>
        </w:rPr>
      </w:pPr>
    </w:p>
    <w:p w:rsidR="003E1B39" w:rsidRDefault="003E1B39" w:rsidP="003E1B39">
      <w:pPr>
        <w:spacing w:line="276" w:lineRule="auto"/>
        <w:ind w:left="-284" w:right="-284"/>
        <w:jc w:val="both"/>
        <w:rPr>
          <w:b/>
        </w:rPr>
      </w:pPr>
    </w:p>
    <w:p w:rsidR="003E1B39" w:rsidRPr="00640923" w:rsidRDefault="003E1B39" w:rsidP="003E1B39">
      <w:pPr>
        <w:spacing w:line="276" w:lineRule="auto"/>
        <w:ind w:left="-284" w:right="-284"/>
        <w:jc w:val="both"/>
        <w:rPr>
          <w:b/>
        </w:rPr>
      </w:pPr>
      <w:bookmarkStart w:id="0" w:name="_GoBack"/>
      <w:bookmarkEnd w:id="0"/>
    </w:p>
    <w:p w:rsidR="00D83D6D" w:rsidRPr="00640923" w:rsidRDefault="00640923" w:rsidP="003E1B39">
      <w:pPr>
        <w:spacing w:after="120" w:line="276" w:lineRule="auto"/>
        <w:ind w:left="-284" w:right="-284"/>
        <w:jc w:val="both"/>
      </w:pPr>
      <w:r w:rsidRPr="00640923">
        <w:t xml:space="preserve">               </w:t>
      </w:r>
      <w:r w:rsidR="00BF2C0A" w:rsidRPr="00640923">
        <w:t>Monitorizarea și evaluarea</w:t>
      </w:r>
      <w:r w:rsidR="00BF0F4C" w:rsidRPr="00BF0F4C">
        <w:t>;</w:t>
      </w:r>
    </w:p>
    <w:p w:rsidR="00BF2C0A" w:rsidRPr="00D83D6D" w:rsidRDefault="00BF2C0A" w:rsidP="003E1B39">
      <w:pPr>
        <w:spacing w:line="276" w:lineRule="auto"/>
        <w:ind w:left="-284" w:right="-284"/>
        <w:jc w:val="both"/>
      </w:pPr>
      <w:r w:rsidRPr="00640923">
        <w:rPr>
          <w:b/>
        </w:rPr>
        <w:t>9.</w:t>
      </w:r>
      <w:r>
        <w:t xml:space="preserve"> </w:t>
      </w:r>
      <w:r w:rsidRPr="00BF2C0A">
        <w:rPr>
          <w:b/>
        </w:rPr>
        <w:t>Regulamentul (UE) 2020/852 al Parlamentului European și al Consiliului privind instituirea unui cadru care să faciliteze investițiile durabile și de modificare a Regulamentului (UE) 2019/2088</w:t>
      </w:r>
      <w:r w:rsidR="00BF0F4C">
        <w:rPr>
          <w:b/>
        </w:rPr>
        <w:t>.</w:t>
      </w:r>
    </w:p>
    <w:p w:rsidR="00BF2C0A" w:rsidRDefault="00640923" w:rsidP="003E1B39">
      <w:pPr>
        <w:spacing w:line="276" w:lineRule="auto"/>
        <w:ind w:left="-284" w:right="-284"/>
        <w:jc w:val="both"/>
      </w:pPr>
      <w:r>
        <w:t xml:space="preserve">               </w:t>
      </w:r>
      <w:r w:rsidR="00BF2C0A" w:rsidRPr="00BF2C0A">
        <w:t>Obiect ș</w:t>
      </w:r>
      <w:r w:rsidR="00BF2C0A">
        <w:t>i domeniu de aplicare, definiții</w:t>
      </w:r>
      <w:r w:rsidR="00BF2C0A" w:rsidRPr="00BF2C0A">
        <w:t xml:space="preserve">: „investiție durabilă din punctul de vedere al mediului”, </w:t>
      </w:r>
      <w:r w:rsidR="003E1B39">
        <w:tab/>
      </w:r>
      <w:r w:rsidR="003E1B39">
        <w:tab/>
      </w:r>
      <w:r w:rsidR="00BF2C0A">
        <w:t xml:space="preserve">„adaptare la schimbările climatice”, </w:t>
      </w:r>
      <w:r w:rsidR="00BF2C0A" w:rsidRPr="00BF2C0A">
        <w:t>„gaz cu efect de seră”</w:t>
      </w:r>
      <w:r w:rsidR="00BF2C0A">
        <w:t xml:space="preserve">, </w:t>
      </w:r>
      <w:r w:rsidR="00BF2C0A" w:rsidRPr="00BF2C0A">
        <w:t>economie circulară”</w:t>
      </w:r>
      <w:r w:rsidR="00BF0F4C" w:rsidRPr="00FE0CDF">
        <w:rPr>
          <w:lang w:val="it-IT"/>
        </w:rPr>
        <w:t>;</w:t>
      </w:r>
    </w:p>
    <w:p w:rsidR="00203732" w:rsidRPr="005E77A7" w:rsidRDefault="00640923" w:rsidP="003E1B39">
      <w:pPr>
        <w:spacing w:after="120" w:line="276" w:lineRule="auto"/>
        <w:ind w:left="-284" w:right="-284"/>
        <w:jc w:val="both"/>
      </w:pPr>
      <w:r>
        <w:t xml:space="preserve">               </w:t>
      </w:r>
      <w:r w:rsidR="00BF2C0A" w:rsidRPr="00BF2C0A">
        <w:t xml:space="preserve">Criterii pentru activitățile economice durabile din punctul de vedere al mediului, Obiective de </w:t>
      </w:r>
      <w:r w:rsidR="003E1B39">
        <w:tab/>
      </w:r>
      <w:r w:rsidR="003E1B39">
        <w:tab/>
      </w:r>
      <w:r w:rsidR="00BF2C0A" w:rsidRPr="00BF2C0A">
        <w:t>mediu</w:t>
      </w:r>
      <w:r w:rsidR="00BF0F4C" w:rsidRPr="00BF0F4C">
        <w:t>;</w:t>
      </w:r>
    </w:p>
    <w:p w:rsidR="00FC5706" w:rsidRDefault="00640923" w:rsidP="003E1B39">
      <w:pPr>
        <w:spacing w:line="276" w:lineRule="auto"/>
        <w:ind w:left="-284" w:right="-284"/>
        <w:jc w:val="both"/>
        <w:rPr>
          <w:b/>
        </w:rPr>
      </w:pPr>
      <w:r w:rsidRPr="00640923">
        <w:rPr>
          <w:b/>
        </w:rPr>
        <w:t>10</w:t>
      </w:r>
      <w:r w:rsidR="005E77A7" w:rsidRPr="00640923">
        <w:rPr>
          <w:b/>
        </w:rPr>
        <w:t>.</w:t>
      </w:r>
      <w:r w:rsidR="005E77A7">
        <w:rPr>
          <w:b/>
        </w:rPr>
        <w:t xml:space="preserve"> </w:t>
      </w:r>
      <w:proofErr w:type="spellStart"/>
      <w:r w:rsidR="00FC5706" w:rsidRPr="005E77A7">
        <w:rPr>
          <w:b/>
        </w:rPr>
        <w:t>Atribuţiile</w:t>
      </w:r>
      <w:proofErr w:type="spellEnd"/>
      <w:r w:rsidR="00FC5706" w:rsidRPr="005E77A7">
        <w:rPr>
          <w:b/>
        </w:rPr>
        <w:t xml:space="preserve"> Serv</w:t>
      </w:r>
      <w:r w:rsidR="005E77A7">
        <w:rPr>
          <w:b/>
        </w:rPr>
        <w:t xml:space="preserve">iciului </w:t>
      </w:r>
      <w:proofErr w:type="spellStart"/>
      <w:r w:rsidRPr="00640923">
        <w:rPr>
          <w:b/>
        </w:rPr>
        <w:t>Serviciului</w:t>
      </w:r>
      <w:proofErr w:type="spellEnd"/>
      <w:r w:rsidRPr="00640923">
        <w:rPr>
          <w:b/>
        </w:rPr>
        <w:t xml:space="preserve"> Management Strategic din cadrul Direcției Generale Programe de Dezvoltare Urbană și Fonduri Europene</w:t>
      </w:r>
      <w:r w:rsidR="00203732" w:rsidRPr="00203732">
        <w:t xml:space="preserve"> </w:t>
      </w:r>
      <w:r w:rsidR="00203732" w:rsidRPr="00203732">
        <w:rPr>
          <w:b/>
        </w:rPr>
        <w:t xml:space="preserve">conform Regulamentului de Organizare </w:t>
      </w:r>
      <w:proofErr w:type="spellStart"/>
      <w:r w:rsidR="00203732" w:rsidRPr="00203732">
        <w:rPr>
          <w:b/>
        </w:rPr>
        <w:t>şi</w:t>
      </w:r>
      <w:proofErr w:type="spellEnd"/>
      <w:r w:rsidR="00203732" w:rsidRPr="00203732">
        <w:rPr>
          <w:b/>
        </w:rPr>
        <w:t xml:space="preserve"> </w:t>
      </w:r>
      <w:proofErr w:type="spellStart"/>
      <w:r w:rsidR="00203732" w:rsidRPr="00203732">
        <w:rPr>
          <w:b/>
        </w:rPr>
        <w:t>Funcţionarea</w:t>
      </w:r>
      <w:proofErr w:type="spellEnd"/>
      <w:r w:rsidR="00203732" w:rsidRPr="00203732">
        <w:rPr>
          <w:b/>
        </w:rPr>
        <w:t xml:space="preserve"> al Primăriei Sectorului 2, disponibil pe site-ul Pri</w:t>
      </w:r>
      <w:r w:rsidR="00203732">
        <w:rPr>
          <w:b/>
        </w:rPr>
        <w:t xml:space="preserve">măriei Sectorului 2, </w:t>
      </w:r>
      <w:hyperlink r:id="rId8" w:history="1">
        <w:r w:rsidRPr="00347988">
          <w:rPr>
            <w:rStyle w:val="Hyperlink"/>
            <w:b/>
          </w:rPr>
          <w:t>www.ps2.ro</w:t>
        </w:r>
      </w:hyperlink>
      <w:r w:rsidR="005E77A7">
        <w:rPr>
          <w:b/>
        </w:rPr>
        <w:t>.</w:t>
      </w:r>
    </w:p>
    <w:p w:rsidR="00640923" w:rsidRDefault="00640923" w:rsidP="006678F9">
      <w:pPr>
        <w:spacing w:line="360" w:lineRule="auto"/>
        <w:ind w:left="-284" w:right="-284"/>
        <w:jc w:val="both"/>
        <w:rPr>
          <w:b/>
        </w:rPr>
      </w:pPr>
    </w:p>
    <w:p w:rsidR="00BD0198" w:rsidRDefault="00BD0198" w:rsidP="00BD0198">
      <w:pPr>
        <w:pStyle w:val="Listparagraf"/>
        <w:autoSpaceDE w:val="0"/>
        <w:autoSpaceDN w:val="0"/>
        <w:adjustRightInd w:val="0"/>
        <w:spacing w:after="0" w:line="264" w:lineRule="auto"/>
        <w:ind w:left="644"/>
        <w:jc w:val="both"/>
        <w:rPr>
          <w:rFonts w:ascii="Times New Roman" w:hAnsi="Times New Roman"/>
          <w:b/>
          <w:i/>
          <w:sz w:val="24"/>
          <w:szCs w:val="24"/>
        </w:rPr>
      </w:pPr>
    </w:p>
    <w:p w:rsidR="005864EE" w:rsidRPr="00E94DFB" w:rsidRDefault="00BD0198" w:rsidP="003E1B39">
      <w:pPr>
        <w:rPr>
          <w:b/>
          <w:i/>
        </w:rPr>
      </w:pPr>
      <w:r>
        <w:rPr>
          <w:b/>
          <w:sz w:val="26"/>
          <w:szCs w:val="26"/>
        </w:rPr>
        <w:tab/>
      </w:r>
    </w:p>
    <w:p w:rsidR="00BD0198" w:rsidRPr="00BD0198" w:rsidRDefault="00BD0198" w:rsidP="005864EE">
      <w:pPr>
        <w:rPr>
          <w:b/>
          <w:i/>
        </w:rPr>
      </w:pPr>
      <w:r w:rsidRPr="00BD0198">
        <w:rPr>
          <w:b/>
          <w:i/>
          <w:sz w:val="26"/>
          <w:szCs w:val="26"/>
        </w:rPr>
        <w:tab/>
      </w:r>
      <w:r w:rsidRPr="00BD0198">
        <w:rPr>
          <w:b/>
          <w:i/>
          <w:sz w:val="26"/>
          <w:szCs w:val="26"/>
        </w:rPr>
        <w:tab/>
      </w:r>
      <w:r w:rsidRPr="00BD0198">
        <w:rPr>
          <w:b/>
          <w:i/>
          <w:sz w:val="26"/>
          <w:szCs w:val="26"/>
        </w:rPr>
        <w:tab/>
      </w:r>
      <w:r w:rsidRPr="00BD0198">
        <w:rPr>
          <w:b/>
          <w:i/>
          <w:sz w:val="26"/>
          <w:szCs w:val="26"/>
        </w:rPr>
        <w:tab/>
      </w:r>
      <w:r w:rsidRPr="00BD0198">
        <w:rPr>
          <w:b/>
          <w:i/>
          <w:sz w:val="26"/>
          <w:szCs w:val="26"/>
        </w:rPr>
        <w:tab/>
        <w:t xml:space="preserve">                                      </w:t>
      </w:r>
      <w:r w:rsidR="002A5562">
        <w:rPr>
          <w:b/>
          <w:i/>
          <w:sz w:val="26"/>
          <w:szCs w:val="26"/>
        </w:rPr>
        <w:t xml:space="preserve"> </w:t>
      </w:r>
      <w:r w:rsidR="00FC5706" w:rsidRPr="00FC5706">
        <w:rPr>
          <w:rFonts w:asciiTheme="minorHAnsi" w:eastAsiaTheme="minorHAnsi" w:hAnsiTheme="minorHAnsi" w:cstheme="minorBidi"/>
          <w:noProof/>
          <w:lang w:val="en-US" w:eastAsia="en-US"/>
        </w:rPr>
        <mc:AlternateContent>
          <mc:Choice Requires="wps">
            <w:drawing>
              <wp:anchor distT="0" distB="0" distL="114300" distR="114300" simplePos="0" relativeHeight="251659264" behindDoc="0" locked="0" layoutInCell="1" allowOverlap="1" wp14:anchorId="6E737B1E" wp14:editId="5F470F27">
                <wp:simplePos x="0" y="0"/>
                <wp:positionH relativeFrom="column">
                  <wp:posOffset>152400</wp:posOffset>
                </wp:positionH>
                <wp:positionV relativeFrom="paragraph">
                  <wp:posOffset>235585</wp:posOffset>
                </wp:positionV>
                <wp:extent cx="4750435" cy="1183005"/>
                <wp:effectExtent l="126365" t="0" r="138430" b="0"/>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635093">
                          <a:off x="0" y="0"/>
                          <a:ext cx="4750435" cy="1183005"/>
                        </a:xfrm>
                        <a:prstGeom prst="rect">
                          <a:avLst/>
                        </a:prstGeom>
                        <a:noFill/>
                        <a:ln w="9525">
                          <a:noFill/>
                          <a:miter lim="800000"/>
                          <a:headEnd/>
                          <a:tailEnd/>
                        </a:ln>
                      </wps:spPr>
                      <wps:txbx>
                        <w:txbxContent>
                          <w:p w:rsidR="00FC5706" w:rsidRPr="00832FE0" w:rsidRDefault="00FC5706" w:rsidP="00FC5706">
                            <w:pPr>
                              <w:jc w:val="center"/>
                              <w:rPr>
                                <w:b/>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737B1E" id="_x0000_t202" coordsize="21600,21600" o:spt="202" path="m,l,21600r21600,l21600,xe">
                <v:stroke joinstyle="miter"/>
                <v:path gradientshapeok="t" o:connecttype="rect"/>
              </v:shapetype>
              <v:shape id="Casetă text 2" o:spid="_x0000_s1026" type="#_x0000_t202" style="position:absolute;margin-left:12pt;margin-top:18.55pt;width:374.05pt;height:93.15pt;rotation:615502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" filled="f" stroked="f">
                <v:textbox>
                  <w:txbxContent>
                    <w:p w:rsidR="00FC5706" w:rsidRPr="00832FE0" w:rsidRDefault="00FC5706" w:rsidP="00FC5706">
                      <w:pPr>
                        <w:jc w:val="center"/>
                        <w:rPr>
                          <w:b/>
                          <w:sz w:val="28"/>
                          <w:szCs w:val="28"/>
                          <w:lang w:val="en-US"/>
                        </w:rPr>
                      </w:pPr>
                    </w:p>
                  </w:txbxContent>
                </v:textbox>
              </v:shape>
            </w:pict>
          </mc:Fallback>
        </mc:AlternateContent>
      </w:r>
    </w:p>
    <w:sectPr w:rsidR="00BD0198" w:rsidRPr="00BD0198" w:rsidSect="003E1B39">
      <w:pgSz w:w="11906" w:h="16838"/>
      <w:pgMar w:top="0" w:right="1191" w:bottom="567"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28B" w:rsidRDefault="0067128B" w:rsidP="003E1B39">
      <w:r>
        <w:separator/>
      </w:r>
    </w:p>
  </w:endnote>
  <w:endnote w:type="continuationSeparator" w:id="0">
    <w:p w:rsidR="0067128B" w:rsidRDefault="0067128B" w:rsidP="003E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28B" w:rsidRDefault="0067128B" w:rsidP="003E1B39">
      <w:r>
        <w:separator/>
      </w:r>
    </w:p>
  </w:footnote>
  <w:footnote w:type="continuationSeparator" w:id="0">
    <w:p w:rsidR="0067128B" w:rsidRDefault="0067128B" w:rsidP="003E1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E4E8D"/>
    <w:multiLevelType w:val="hybridMultilevel"/>
    <w:tmpl w:val="81E819B2"/>
    <w:lvl w:ilvl="0" w:tplc="41860A96">
      <w:start w:val="1"/>
      <w:numFmt w:val="lowerLetter"/>
      <w:lvlText w:val="%1)"/>
      <w:lvlJc w:val="left"/>
      <w:pPr>
        <w:ind w:left="1004" w:hanging="360"/>
      </w:pPr>
      <w:rPr>
        <w:rFonts w:hint="default"/>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 w15:restartNumberingAfterBreak="0">
    <w:nsid w:val="20447638"/>
    <w:multiLevelType w:val="hybridMultilevel"/>
    <w:tmpl w:val="F8E627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52D23E7"/>
    <w:multiLevelType w:val="hybridMultilevel"/>
    <w:tmpl w:val="947A6FDA"/>
    <w:lvl w:ilvl="0" w:tplc="C286057A">
      <w:start w:val="1"/>
      <w:numFmt w:val="lowerLetter"/>
      <w:lvlText w:val="%1)"/>
      <w:lvlJc w:val="left"/>
      <w:pPr>
        <w:ind w:left="1004" w:hanging="360"/>
      </w:pPr>
      <w:rPr>
        <w:rFonts w:hint="default"/>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4BBB7F01"/>
    <w:multiLevelType w:val="hybridMultilevel"/>
    <w:tmpl w:val="1B284AFA"/>
    <w:lvl w:ilvl="0" w:tplc="A6466520">
      <w:start w:val="1"/>
      <w:numFmt w:val="decimal"/>
      <w:lvlText w:val="%1."/>
      <w:lvlJc w:val="left"/>
      <w:pPr>
        <w:ind w:left="644"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3505C2E"/>
    <w:multiLevelType w:val="hybridMultilevel"/>
    <w:tmpl w:val="F71C8B5C"/>
    <w:lvl w:ilvl="0" w:tplc="A862433E">
      <w:start w:val="1"/>
      <w:numFmt w:val="lowerLetter"/>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5C711914"/>
    <w:multiLevelType w:val="hybridMultilevel"/>
    <w:tmpl w:val="8EE0BC3C"/>
    <w:lvl w:ilvl="0" w:tplc="B6FEC39A">
      <w:start w:val="1"/>
      <w:numFmt w:val="lowerLetter"/>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6" w15:restartNumberingAfterBreak="0">
    <w:nsid w:val="79436065"/>
    <w:multiLevelType w:val="hybridMultilevel"/>
    <w:tmpl w:val="76202012"/>
    <w:lvl w:ilvl="0" w:tplc="9606D4EA">
      <w:start w:val="1"/>
      <w:numFmt w:val="lowerLetter"/>
      <w:lvlText w:val="%1)"/>
      <w:lvlJc w:val="left"/>
      <w:pPr>
        <w:ind w:left="1004" w:hanging="360"/>
      </w:pPr>
      <w:rPr>
        <w:rFonts w:hint="default"/>
        <w:i w:val="0"/>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7" w15:restartNumberingAfterBreak="0">
    <w:nsid w:val="7AA5628D"/>
    <w:multiLevelType w:val="hybridMultilevel"/>
    <w:tmpl w:val="320E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9443A"/>
    <w:multiLevelType w:val="hybridMultilevel"/>
    <w:tmpl w:val="565A1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AF4218"/>
    <w:multiLevelType w:val="hybridMultilevel"/>
    <w:tmpl w:val="D22EB578"/>
    <w:lvl w:ilvl="0" w:tplc="69C051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7"/>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F8C"/>
    <w:rsid w:val="000723D8"/>
    <w:rsid w:val="000E2B54"/>
    <w:rsid w:val="0014606B"/>
    <w:rsid w:val="001828F5"/>
    <w:rsid w:val="00203732"/>
    <w:rsid w:val="00257BFC"/>
    <w:rsid w:val="00277085"/>
    <w:rsid w:val="002A5562"/>
    <w:rsid w:val="003C32B1"/>
    <w:rsid w:val="003E1B39"/>
    <w:rsid w:val="004647E6"/>
    <w:rsid w:val="005864EE"/>
    <w:rsid w:val="005B098D"/>
    <w:rsid w:val="005B38D2"/>
    <w:rsid w:val="005E77A7"/>
    <w:rsid w:val="00640923"/>
    <w:rsid w:val="006678F9"/>
    <w:rsid w:val="0067128B"/>
    <w:rsid w:val="006E0F8C"/>
    <w:rsid w:val="00726302"/>
    <w:rsid w:val="007B6229"/>
    <w:rsid w:val="008A2D67"/>
    <w:rsid w:val="00992A64"/>
    <w:rsid w:val="009B031C"/>
    <w:rsid w:val="009E26FD"/>
    <w:rsid w:val="00AA7603"/>
    <w:rsid w:val="00B52A09"/>
    <w:rsid w:val="00B6207D"/>
    <w:rsid w:val="00BD0198"/>
    <w:rsid w:val="00BF0F4C"/>
    <w:rsid w:val="00BF2C0A"/>
    <w:rsid w:val="00D83D6D"/>
    <w:rsid w:val="00EC29A6"/>
    <w:rsid w:val="00ED3FC9"/>
    <w:rsid w:val="00FC5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D75CD-D9A7-4B8D-9B4F-81BCFEA3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07D"/>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6207D"/>
    <w:pPr>
      <w:spacing w:after="160" w:line="259" w:lineRule="auto"/>
      <w:ind w:left="720"/>
      <w:contextualSpacing/>
    </w:pPr>
    <w:rPr>
      <w:rFonts w:ascii="Calibri" w:eastAsia="Calibri" w:hAnsi="Calibri"/>
      <w:noProof/>
      <w:sz w:val="22"/>
      <w:szCs w:val="22"/>
      <w:lang w:eastAsia="en-US"/>
    </w:rPr>
  </w:style>
  <w:style w:type="character" w:styleId="Hyperlink">
    <w:name w:val="Hyperlink"/>
    <w:basedOn w:val="Fontdeparagrafimplicit"/>
    <w:uiPriority w:val="99"/>
    <w:unhideWhenUsed/>
    <w:rsid w:val="00640923"/>
    <w:rPr>
      <w:color w:val="0000FF" w:themeColor="hyperlink"/>
      <w:u w:val="single"/>
    </w:rPr>
  </w:style>
  <w:style w:type="paragraph" w:styleId="Antet">
    <w:name w:val="header"/>
    <w:basedOn w:val="Normal"/>
    <w:link w:val="AntetCaracter"/>
    <w:uiPriority w:val="99"/>
    <w:unhideWhenUsed/>
    <w:rsid w:val="003E1B39"/>
    <w:pPr>
      <w:tabs>
        <w:tab w:val="center" w:pos="4680"/>
        <w:tab w:val="right" w:pos="9360"/>
      </w:tabs>
    </w:pPr>
  </w:style>
  <w:style w:type="character" w:customStyle="1" w:styleId="AntetCaracter">
    <w:name w:val="Antet Caracter"/>
    <w:basedOn w:val="Fontdeparagrafimplicit"/>
    <w:link w:val="Antet"/>
    <w:uiPriority w:val="99"/>
    <w:rsid w:val="003E1B39"/>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3E1B39"/>
    <w:pPr>
      <w:tabs>
        <w:tab w:val="center" w:pos="4680"/>
        <w:tab w:val="right" w:pos="9360"/>
      </w:tabs>
    </w:pPr>
  </w:style>
  <w:style w:type="character" w:customStyle="1" w:styleId="SubsolCaracter">
    <w:name w:val="Subsol Caracter"/>
    <w:basedOn w:val="Fontdeparagrafimplicit"/>
    <w:link w:val="Subsol"/>
    <w:uiPriority w:val="99"/>
    <w:rsid w:val="003E1B39"/>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2.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493</Words>
  <Characters>2813</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2022-10-26T11:05:00Z</cp:lastPrinted>
  <dcterms:created xsi:type="dcterms:W3CDTF">2023-03-01T07:42:00Z</dcterms:created>
  <dcterms:modified xsi:type="dcterms:W3CDTF">2023-03-24T08:14:00Z</dcterms:modified>
</cp:coreProperties>
</file>