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49275C" w:rsidRDefault="00666D16" w:rsidP="00895612">
      <w:pPr>
        <w:jc w:val="center"/>
        <w:rPr>
          <w:rFonts w:ascii="Times New Roman" w:hAnsi="Times New Roman"/>
          <w:b/>
          <w:bCs/>
          <w:color w:val="000080"/>
        </w:rPr>
      </w:pPr>
      <w:r w:rsidRPr="00666D16">
        <w:rPr>
          <w:rFonts w:ascii="Times New Roman" w:hAnsi="Times New Roman"/>
          <w:b/>
          <w:bCs/>
          <w:color w:val="000080"/>
        </w:rPr>
        <w:t xml:space="preserve">Atribuţiile postului: consilier achiziții publice </w:t>
      </w:r>
      <w:r w:rsidR="00B8482E">
        <w:rPr>
          <w:rFonts w:ascii="Times New Roman" w:hAnsi="Times New Roman"/>
          <w:b/>
          <w:bCs/>
          <w:color w:val="000080"/>
        </w:rPr>
        <w:t>principal</w:t>
      </w:r>
      <w:r w:rsidRPr="00666D16">
        <w:rPr>
          <w:rFonts w:ascii="Times New Roman" w:hAnsi="Times New Roman"/>
          <w:b/>
          <w:bCs/>
          <w:color w:val="000080"/>
        </w:rPr>
        <w:t xml:space="preserve"> la Serviciul Achiziții Publice                        </w:t>
      </w:r>
      <w:r w:rsidR="00B8482E">
        <w:rPr>
          <w:rFonts w:ascii="Times New Roman" w:hAnsi="Times New Roman"/>
          <w:b/>
          <w:bCs/>
          <w:color w:val="000080"/>
        </w:rPr>
        <w:t xml:space="preserve">            ( SAP 4</w:t>
      </w:r>
      <w:r>
        <w:rPr>
          <w:rFonts w:ascii="Times New Roman" w:hAnsi="Times New Roman"/>
          <w:b/>
          <w:bCs/>
          <w:color w:val="000080"/>
        </w:rPr>
        <w:t xml:space="preserve">) – ID </w:t>
      </w:r>
      <w:r w:rsidR="00B8482E">
        <w:rPr>
          <w:rFonts w:ascii="Times New Roman" w:hAnsi="Times New Roman"/>
          <w:b/>
          <w:bCs/>
          <w:color w:val="000080"/>
        </w:rPr>
        <w:t>567351</w:t>
      </w:r>
    </w:p>
    <w:p w:rsidR="00232E40" w:rsidRDefault="00232E40" w:rsidP="00243CA5">
      <w:pPr>
        <w:jc w:val="both"/>
        <w:rPr>
          <w:rFonts w:ascii="Times New Roman" w:hAnsi="Times New Roman"/>
          <w:b/>
          <w:bCs/>
          <w:color w:val="000080"/>
        </w:rPr>
      </w:pPr>
    </w:p>
    <w:p w:rsidR="006114F4" w:rsidRDefault="006114F4" w:rsidP="00243CA5">
      <w:pPr>
        <w:jc w:val="both"/>
        <w:rPr>
          <w:rFonts w:ascii="Times New Roman" w:hAnsi="Times New Roman"/>
          <w:b/>
          <w:bCs/>
          <w:color w:val="000080"/>
        </w:rPr>
      </w:pPr>
    </w:p>
    <w:p w:rsidR="00B8482E" w:rsidRPr="00B8482E" w:rsidRDefault="00B8482E" w:rsidP="00B8482E">
      <w:pPr>
        <w:numPr>
          <w:ilvl w:val="0"/>
          <w:numId w:val="5"/>
        </w:numPr>
        <w:autoSpaceDE w:val="0"/>
        <w:autoSpaceDN w:val="0"/>
        <w:adjustRightInd w:val="0"/>
        <w:spacing w:line="276" w:lineRule="auto"/>
        <w:jc w:val="both"/>
        <w:rPr>
          <w:rFonts w:ascii="Times New Roman" w:hAnsi="Times New Roman"/>
        </w:rPr>
      </w:pPr>
      <w:r w:rsidRPr="00B8482E">
        <w:rPr>
          <w:rFonts w:ascii="Times New Roman" w:hAnsi="Times New Roman"/>
        </w:rPr>
        <w:t>Elaborează şi, după caz, actualizează, pe baza necesităţilor transmise de celelalte compartimente ale autorităţii contractante, strategia de contractare şi programul anual al achiziţiilor publice cu anexa privind achiziţiile directe de produse, servicii şi lucrări.</w:t>
      </w:r>
    </w:p>
    <w:p w:rsidR="00B8482E" w:rsidRPr="00B8482E" w:rsidRDefault="00B8482E" w:rsidP="00B8482E">
      <w:pPr>
        <w:numPr>
          <w:ilvl w:val="0"/>
          <w:numId w:val="5"/>
        </w:numPr>
        <w:autoSpaceDE w:val="0"/>
        <w:autoSpaceDN w:val="0"/>
        <w:adjustRightInd w:val="0"/>
        <w:spacing w:line="276" w:lineRule="auto"/>
        <w:jc w:val="both"/>
        <w:rPr>
          <w:rFonts w:ascii="Times New Roman" w:hAnsi="Times New Roman"/>
        </w:rPr>
      </w:pPr>
      <w:r w:rsidRPr="00B8482E">
        <w:rPr>
          <w:rFonts w:ascii="Times New Roman" w:hAnsi="Times New Roman"/>
        </w:rPr>
        <w:t xml:space="preserve">Elaborează sau, după caz, coordonează activitatea de elaborare a documentaţiei de atribuire şi a documentelor-suport, în cazul  procedurii simplificate , licitație deschisa, negociere </w:t>
      </w:r>
      <w:proofErr w:type="spellStart"/>
      <w:r w:rsidRPr="00B8482E">
        <w:rPr>
          <w:rFonts w:ascii="Times New Roman" w:hAnsi="Times New Roman"/>
        </w:rPr>
        <w:t>fara</w:t>
      </w:r>
      <w:proofErr w:type="spellEnd"/>
      <w:r w:rsidRPr="00B8482E">
        <w:rPr>
          <w:rFonts w:ascii="Times New Roman" w:hAnsi="Times New Roman"/>
        </w:rPr>
        <w:t xml:space="preserve">  publicare prealabila si organizarea unui concurs de soluţii, a documentaţiei de concurs, pe baza necesităţilor transmise de compartimentele de specialitate.</w:t>
      </w:r>
    </w:p>
    <w:p w:rsidR="00B8482E" w:rsidRPr="00B8482E" w:rsidRDefault="00B8482E" w:rsidP="00B8482E">
      <w:pPr>
        <w:numPr>
          <w:ilvl w:val="0"/>
          <w:numId w:val="5"/>
        </w:numPr>
        <w:autoSpaceDE w:val="0"/>
        <w:autoSpaceDN w:val="0"/>
        <w:adjustRightInd w:val="0"/>
        <w:spacing w:line="276" w:lineRule="auto"/>
        <w:jc w:val="both"/>
        <w:rPr>
          <w:rFonts w:ascii="Times New Roman" w:hAnsi="Times New Roman"/>
        </w:rPr>
      </w:pPr>
      <w:r w:rsidRPr="00B8482E">
        <w:rPr>
          <w:rFonts w:ascii="Times New Roman" w:hAnsi="Times New Roman"/>
        </w:rPr>
        <w:t>Îndeplineşte obligaţiile referitoare la publicitate, astfel cum sunt acestea prevăzute în conformitate cu prevederile legale în vigoare.</w:t>
      </w:r>
    </w:p>
    <w:p w:rsidR="00B8482E" w:rsidRPr="00B8482E" w:rsidRDefault="00B8482E" w:rsidP="00B8482E">
      <w:pPr>
        <w:numPr>
          <w:ilvl w:val="0"/>
          <w:numId w:val="5"/>
        </w:numPr>
        <w:autoSpaceDE w:val="0"/>
        <w:autoSpaceDN w:val="0"/>
        <w:adjustRightInd w:val="0"/>
        <w:spacing w:line="276" w:lineRule="auto"/>
        <w:jc w:val="both"/>
        <w:rPr>
          <w:rFonts w:ascii="Times New Roman" w:hAnsi="Times New Roman"/>
        </w:rPr>
      </w:pPr>
      <w:r w:rsidRPr="00B8482E">
        <w:rPr>
          <w:rFonts w:ascii="Times New Roman" w:hAnsi="Times New Roman"/>
        </w:rPr>
        <w:t>Aplică şi finalizează procedurile de atribuire.</w:t>
      </w:r>
    </w:p>
    <w:p w:rsidR="00B8482E" w:rsidRPr="00B8482E" w:rsidRDefault="00B8482E" w:rsidP="00B8482E">
      <w:pPr>
        <w:numPr>
          <w:ilvl w:val="0"/>
          <w:numId w:val="5"/>
        </w:numPr>
        <w:autoSpaceDE w:val="0"/>
        <w:autoSpaceDN w:val="0"/>
        <w:adjustRightInd w:val="0"/>
        <w:spacing w:line="276" w:lineRule="auto"/>
        <w:jc w:val="both"/>
        <w:rPr>
          <w:rFonts w:ascii="Times New Roman" w:hAnsi="Times New Roman"/>
        </w:rPr>
      </w:pPr>
      <w:r w:rsidRPr="00B8482E">
        <w:rPr>
          <w:rFonts w:ascii="Times New Roman" w:hAnsi="Times New Roman"/>
        </w:rPr>
        <w:t>Realizează achiziţiile directe.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Propune achiziţia de servicii de consultanţă pentru elaborarea caietelor de sarcini şi a documentaţiei de atribuire în cazul unor achiziţii la care Primăria Sectorului 2 nu are specialişti în elaborarea acestor documente.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Redactează şi transmite în SEAP și/sau pe site-ul instituției documentele prevăzute de legislaţia în materia achiziţiilor publice.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Face parte din comisia de evaluare a ofertelor.</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Urmărește și implementează modificările legislative pe tot parcursul procedurilor de atribuire.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Transmite în SEAP răspunsurile la solicitările de clarificări ale operatorilor economici.</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 xml:space="preserve">Redactează contractele şi anexele acestora, inclusiv propunerile de angajare a unor cheltuieli, proiectele de angajament legal şi angajamentele bugetare în baza cerinţelor transmise de compartimentele de specialitate. </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Înaintează contractele de achiziţie publică spre avizare de legalitate.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Înaintează contractele de achiziţie publică spre semnare către furnizor/prestator/executant sau către concesionar.</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Înaintează contractele de achiziţie publică spre avizare la control financiar preventiv şi către ordonatorul principal de credite a contractelor de achiziţie publică şi anexele aferente.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 xml:space="preserve">Asigură transparenţa cheltuirii banilor publici prin publicarea contractelor, conform reglementărilor </w:t>
      </w:r>
      <w:r w:rsidRPr="00B8482E">
        <w:rPr>
          <w:rFonts w:ascii="Times New Roman" w:hAnsi="Times New Roman"/>
          <w:shd w:val="clear" w:color="auto" w:fill="FFFFFF"/>
        </w:rPr>
        <w:t>legale privind liberul acces la informaţiile de interes public</w:t>
      </w:r>
      <w:r w:rsidRPr="00B8482E">
        <w:rPr>
          <w:rFonts w:ascii="Times New Roman" w:hAnsi="Times New Roman"/>
        </w:rPr>
        <w:t xml:space="preserve"> aşa cum este prevăzut inclusiv în Legea nr. 98/2016 privind achizițiile publice cu modificările şi completările ulterioare, pe site-ul instituţiei sau la solicitarea petenţilor conform Legii nr. 544/2001 </w:t>
      </w:r>
      <w:r w:rsidRPr="00B8482E">
        <w:rPr>
          <w:rFonts w:ascii="Times New Roman" w:hAnsi="Times New Roman"/>
          <w:lang w:eastAsia="ro-RO"/>
        </w:rPr>
        <w:t>privind liberul acces la informaţiile de interes public, cu modificările şi completările ulterioare.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lastRenderedPageBreak/>
        <w:t>Elaborează şi după caz, actualizează, pe baza necesitaţilor transmise de celelalte compartimente ale autorităţii contractante, strategia de contractare şi programul anual al achiziţiilor publice.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 xml:space="preserve">Constituie şi păstrează dosarul achiziţiei publice, iar celelalte compartimente ale autorităţii contractante au obligaţia de a sprijini activitatea compartimentului de achiziţii publice, în funcţie de specificul documentaţiei de atribuire şi de complexitatea problemelor care urmează să fie rezolvate în contextul aplicării procedurii de atribuire (în conformitate cu art.2 alin (5) din H.G.395/2016 </w:t>
      </w:r>
      <w:r w:rsidRPr="00B8482E">
        <w:rPr>
          <w:rFonts w:ascii="Times New Roman" w:hAnsi="Times New Roman"/>
          <w:lang w:eastAsia="ro-RO"/>
        </w:rPr>
        <w:t>pentru aprobarea Normelor metodologice de aplicare a prevederilor referitoare la atribuirea contractului de achiziţie publică/acordului-cadru din Legea nr. 98/2016 privind achiziţiile publice</w:t>
      </w:r>
      <w:r w:rsidRPr="00B8482E">
        <w:rPr>
          <w:rFonts w:ascii="Times New Roman" w:hAnsi="Times New Roman"/>
        </w:rPr>
        <w:t xml:space="preserve"> cu modificările şi completările ulterioare).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Înregistrează contractele de achiziţie publică.</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Întocmeşte proceduri proprii de achiziţie publică atunci când atribuirea contractului de achiziţie publică nu se supune prevederilor legale privind achiziţiile publice.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Propune eliberarea garanţiei de participare constituită la procedura de achiziţie publică în urma căreia s-a atribuit contractul.</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Verifică referatele de necesitate, caietele de sarcini, precum și alte documente ale achiziției în vederea identificării eventualelor neconcordanțe cu legislația în vigoare.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Transmite direcției inițiatoare în scris, solicitările de modificare ce se impun, în cuprinsul referatelor de necesitate, specificațiilor tehnice, ș.a., motivat / fundamentat prin intermediul legislației în vigoare.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Elaborează caietele de sarcini, documentația de achiziție de terenuri și imobile pe baza referatelor de necesitate, notelor de fundamentare primite de la compartimentele de specialitate din instituție și/sau de la autoritățile inițiatoare aflate sub autoritatea Consiliului Local Sector 2 aprobate conform competențelor legale și realizează în conformitate cu normele procedurale interne aprobate prin Hotărârea Consiliului Local Sector 2 nr.8/2019.</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Realizează procedurile proprii  privind încheierea contractelor de împrumuturi indiferent dacă sunt sau nu în legătura cu emisiunea, vânzarea, cumpărarea ori transferul valorilor mobiliare  sau al altor instrumente financiare</w:t>
      </w:r>
    </w:p>
    <w:p w:rsidR="00B8482E" w:rsidRPr="00B8482E" w:rsidRDefault="00B8482E" w:rsidP="00B8482E">
      <w:pPr>
        <w:numPr>
          <w:ilvl w:val="0"/>
          <w:numId w:val="5"/>
        </w:numPr>
        <w:spacing w:line="276" w:lineRule="auto"/>
        <w:ind w:right="90"/>
        <w:jc w:val="both"/>
        <w:rPr>
          <w:rFonts w:ascii="Times New Roman" w:hAnsi="Times New Roman"/>
        </w:rPr>
      </w:pPr>
      <w:r w:rsidRPr="00B8482E">
        <w:rPr>
          <w:rFonts w:ascii="Times New Roman" w:hAnsi="Times New Roman"/>
        </w:rPr>
        <w:t>Asigură soluţionarea sesizărilor şi reclamaţiilor primite de la cetăţeni.</w:t>
      </w:r>
    </w:p>
    <w:p w:rsidR="00B8482E" w:rsidRPr="00B8482E" w:rsidRDefault="00B8482E" w:rsidP="00B8482E">
      <w:pPr>
        <w:numPr>
          <w:ilvl w:val="0"/>
          <w:numId w:val="5"/>
        </w:numPr>
        <w:tabs>
          <w:tab w:val="num" w:pos="5940"/>
        </w:tabs>
        <w:spacing w:line="276" w:lineRule="auto"/>
        <w:jc w:val="both"/>
        <w:rPr>
          <w:rFonts w:ascii="Times New Roman" w:hAnsi="Times New Roman"/>
          <w:b/>
          <w:i/>
          <w:noProof/>
        </w:rPr>
      </w:pPr>
      <w:r w:rsidRPr="00B8482E">
        <w:rPr>
          <w:rFonts w:ascii="Times New Roman" w:hAnsi="Times New Roman"/>
          <w:noProof/>
        </w:rPr>
        <w:t>Gestionează şi arhivează documentele produse în executarea atribuţiilor de serviciu.</w:t>
      </w:r>
    </w:p>
    <w:p w:rsidR="00B8482E" w:rsidRPr="00B8482E" w:rsidRDefault="00B8482E" w:rsidP="00B8482E">
      <w:pPr>
        <w:numPr>
          <w:ilvl w:val="0"/>
          <w:numId w:val="5"/>
        </w:numPr>
        <w:spacing w:line="276" w:lineRule="auto"/>
        <w:jc w:val="both"/>
        <w:rPr>
          <w:rFonts w:ascii="Times New Roman" w:hAnsi="Times New Roman"/>
          <w:b/>
          <w:noProof/>
        </w:rPr>
      </w:pPr>
      <w:r w:rsidRPr="00B8482E">
        <w:rPr>
          <w:rFonts w:ascii="Times New Roman" w:hAnsi="Times New Roman"/>
          <w:noProof/>
        </w:rPr>
        <w:t>Redactează diverse adrese şi scrisori (cu caracter ocazional) ale serviciului, adresate  organizaţiilor sau instituţiilor, referitoare la activitatea pe care o desfăşoară.</w:t>
      </w:r>
    </w:p>
    <w:p w:rsidR="00B8482E" w:rsidRPr="00B8482E" w:rsidRDefault="00B8482E" w:rsidP="00B8482E">
      <w:pPr>
        <w:numPr>
          <w:ilvl w:val="0"/>
          <w:numId w:val="5"/>
        </w:numPr>
        <w:spacing w:line="276" w:lineRule="auto"/>
        <w:jc w:val="both"/>
        <w:rPr>
          <w:rFonts w:ascii="Times New Roman" w:hAnsi="Times New Roman"/>
          <w:b/>
          <w:noProof/>
        </w:rPr>
      </w:pPr>
      <w:r w:rsidRPr="00B8482E">
        <w:rPr>
          <w:rFonts w:ascii="Times New Roman" w:hAnsi="Times New Roman"/>
          <w:noProof/>
        </w:rPr>
        <w:t xml:space="preserve">Efectuează </w:t>
      </w:r>
      <w:r w:rsidRPr="00B8482E">
        <w:rPr>
          <w:rFonts w:ascii="Times New Roman" w:hAnsi="Times New Roman"/>
          <w:i/>
          <w:noProof/>
        </w:rPr>
        <w:t>orice altă sarcină profesională</w:t>
      </w:r>
      <w:r w:rsidRPr="00B8482E">
        <w:rPr>
          <w:rFonts w:ascii="Times New Roman" w:hAnsi="Times New Roman"/>
          <w:noProof/>
        </w:rPr>
        <w:t xml:space="preserve"> care are legătură cu atribuţiile serviciului, solicitată de </w:t>
      </w:r>
      <w:r w:rsidRPr="00B8482E">
        <w:rPr>
          <w:rFonts w:ascii="Times New Roman" w:hAnsi="Times New Roman"/>
          <w:bCs/>
        </w:rPr>
        <w:t>Șeful Serviciului sau Directorul Executiv</w:t>
      </w:r>
      <w:r w:rsidRPr="00B8482E">
        <w:rPr>
          <w:rFonts w:ascii="Times New Roman" w:hAnsi="Times New Roman"/>
          <w:noProof/>
        </w:rPr>
        <w:t>.</w:t>
      </w:r>
    </w:p>
    <w:p w:rsidR="00675E08" w:rsidRPr="00243CA5" w:rsidRDefault="00675E08" w:rsidP="00B8482E">
      <w:pPr>
        <w:autoSpaceDN w:val="0"/>
        <w:spacing w:line="276" w:lineRule="auto"/>
        <w:ind w:left="720" w:right="-421"/>
        <w:jc w:val="both"/>
        <w:rPr>
          <w:rFonts w:ascii="Times New Roman" w:hAnsi="Times New Roman"/>
          <w:b/>
          <w:bCs/>
          <w:color w:val="000080"/>
        </w:rPr>
      </w:pPr>
    </w:p>
    <w:sectPr w:rsidR="00675E08" w:rsidRPr="00243CA5" w:rsidSect="00B8482E">
      <w:headerReference w:type="even" r:id="rId9"/>
      <w:headerReference w:type="default" r:id="rId10"/>
      <w:footerReference w:type="even" r:id="rId11"/>
      <w:footerReference w:type="default" r:id="rId12"/>
      <w:headerReference w:type="first" r:id="rId13"/>
      <w:footerReference w:type="first" r:id="rId14"/>
      <w:pgSz w:w="12240" w:h="15840"/>
      <w:pgMar w:top="567" w:right="1134" w:bottom="567" w:left="1134"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91B" w:rsidRDefault="0010691B" w:rsidP="00721DC5">
      <w:r>
        <w:separator/>
      </w:r>
    </w:p>
  </w:endnote>
  <w:endnote w:type="continuationSeparator" w:id="0">
    <w:p w:rsidR="0010691B" w:rsidRDefault="0010691B"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80" w:rsidRDefault="00C6658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80" w:rsidRDefault="00C6658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80" w:rsidRDefault="00C6658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91B" w:rsidRDefault="0010691B" w:rsidP="00721DC5">
      <w:r>
        <w:separator/>
      </w:r>
    </w:p>
  </w:footnote>
  <w:footnote w:type="continuationSeparator" w:id="0">
    <w:p w:rsidR="0010691B" w:rsidRDefault="0010691B"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80" w:rsidRDefault="00C6658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721DC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80" w:rsidRDefault="00C6658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057"/>
    <w:multiLevelType w:val="hybridMultilevel"/>
    <w:tmpl w:val="34620A56"/>
    <w:lvl w:ilvl="0" w:tplc="588E9F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D423532"/>
    <w:multiLevelType w:val="hybridMultilevel"/>
    <w:tmpl w:val="1A160E3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6"/>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10691B"/>
    <w:rsid w:val="00232E40"/>
    <w:rsid w:val="00243CA5"/>
    <w:rsid w:val="002A2C2E"/>
    <w:rsid w:val="002C1211"/>
    <w:rsid w:val="00306FE6"/>
    <w:rsid w:val="0031605C"/>
    <w:rsid w:val="003B6D64"/>
    <w:rsid w:val="0049275C"/>
    <w:rsid w:val="004A7EB0"/>
    <w:rsid w:val="004B6F67"/>
    <w:rsid w:val="00506380"/>
    <w:rsid w:val="005A3786"/>
    <w:rsid w:val="005E2BB8"/>
    <w:rsid w:val="006114F4"/>
    <w:rsid w:val="006517A3"/>
    <w:rsid w:val="00666108"/>
    <w:rsid w:val="00666D16"/>
    <w:rsid w:val="00675E08"/>
    <w:rsid w:val="0068283D"/>
    <w:rsid w:val="006D55EA"/>
    <w:rsid w:val="006E4724"/>
    <w:rsid w:val="00721DC5"/>
    <w:rsid w:val="00734BAB"/>
    <w:rsid w:val="007D1384"/>
    <w:rsid w:val="00846EAB"/>
    <w:rsid w:val="0086673E"/>
    <w:rsid w:val="00895612"/>
    <w:rsid w:val="008F4A04"/>
    <w:rsid w:val="009B0A3C"/>
    <w:rsid w:val="009B1F1B"/>
    <w:rsid w:val="00B8482E"/>
    <w:rsid w:val="00BC089C"/>
    <w:rsid w:val="00C50F69"/>
    <w:rsid w:val="00C66580"/>
    <w:rsid w:val="00C7590A"/>
    <w:rsid w:val="00D03DB7"/>
    <w:rsid w:val="00D32746"/>
    <w:rsid w:val="00DE6C32"/>
    <w:rsid w:val="00DE7D82"/>
    <w:rsid w:val="00E15401"/>
    <w:rsid w:val="00E2240F"/>
    <w:rsid w:val="00E547D0"/>
    <w:rsid w:val="00EB42C5"/>
    <w:rsid w:val="00EC2F97"/>
    <w:rsid w:val="00F52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4569</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2023-04-12T05:17:00Z</dcterms:created>
  <dcterms:modified xsi:type="dcterms:W3CDTF">2023-04-12T05:18:00Z</dcterms:modified>
</cp:coreProperties>
</file>