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A5" w:rsidRDefault="00895612" w:rsidP="00F52AE6">
      <w:pPr>
        <w:jc w:val="center"/>
      </w:pPr>
      <w:bookmarkStart w:id="0" w:name="_GoBack"/>
      <w:bookmarkEnd w:id="0"/>
      <w:r w:rsidRPr="00895612">
        <w:rPr>
          <w:rFonts w:ascii="Times New Roman" w:hAnsi="Times New Roman"/>
          <w:noProof/>
          <w:lang w:eastAsia="ro-RO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822B3B" w:rsidRDefault="00822B3B" w:rsidP="007B6FEE">
      <w:pPr>
        <w:jc w:val="center"/>
        <w:rPr>
          <w:rFonts w:ascii="Times New Roman" w:hAnsi="Times New Roman"/>
          <w:b/>
          <w:bCs/>
          <w:color w:val="000080"/>
        </w:rPr>
      </w:pPr>
    </w:p>
    <w:p w:rsidR="00822B3B" w:rsidRDefault="00243CA5" w:rsidP="007B6FEE">
      <w:pPr>
        <w:jc w:val="center"/>
        <w:rPr>
          <w:rFonts w:ascii="Times New Roman" w:hAnsi="Times New Roman"/>
          <w:b/>
          <w:bCs/>
          <w:color w:val="000080"/>
        </w:rPr>
      </w:pPr>
      <w:r w:rsidRPr="00243CA5">
        <w:rPr>
          <w:rFonts w:ascii="Times New Roman" w:hAnsi="Times New Roman"/>
          <w:b/>
          <w:bCs/>
          <w:color w:val="000080"/>
        </w:rPr>
        <w:t>Atribuţiile postului:</w:t>
      </w:r>
      <w:r>
        <w:rPr>
          <w:rFonts w:ascii="Times New Roman" w:hAnsi="Times New Roman"/>
          <w:b/>
          <w:bCs/>
          <w:color w:val="000080"/>
        </w:rPr>
        <w:t xml:space="preserve"> </w:t>
      </w:r>
      <w:r w:rsidR="00775157">
        <w:rPr>
          <w:rFonts w:ascii="Times New Roman" w:hAnsi="Times New Roman"/>
          <w:b/>
          <w:bCs/>
          <w:color w:val="000080"/>
        </w:rPr>
        <w:t>consilier</w:t>
      </w:r>
      <w:r w:rsidR="007B6FEE">
        <w:rPr>
          <w:rFonts w:ascii="Times New Roman" w:hAnsi="Times New Roman"/>
          <w:b/>
          <w:bCs/>
          <w:color w:val="000080"/>
        </w:rPr>
        <w:t>, clasa I, grad profesional</w:t>
      </w:r>
      <w:r w:rsidR="000D20EB">
        <w:rPr>
          <w:rFonts w:ascii="Times New Roman" w:hAnsi="Times New Roman"/>
          <w:b/>
          <w:bCs/>
          <w:color w:val="000080"/>
        </w:rPr>
        <w:t xml:space="preserve"> </w:t>
      </w:r>
      <w:r w:rsidR="00822B3B">
        <w:rPr>
          <w:rFonts w:ascii="Times New Roman" w:hAnsi="Times New Roman"/>
          <w:b/>
          <w:bCs/>
          <w:color w:val="000080"/>
        </w:rPr>
        <w:t>superior la</w:t>
      </w:r>
    </w:p>
    <w:p w:rsidR="006114F4" w:rsidRDefault="008F4A04" w:rsidP="007B6FEE">
      <w:pPr>
        <w:jc w:val="center"/>
        <w:rPr>
          <w:rFonts w:ascii="Times New Roman" w:hAnsi="Times New Roman"/>
          <w:b/>
          <w:bCs/>
          <w:color w:val="000080"/>
        </w:rPr>
      </w:pPr>
      <w:r>
        <w:rPr>
          <w:rFonts w:ascii="Times New Roman" w:hAnsi="Times New Roman"/>
          <w:b/>
          <w:bCs/>
          <w:color w:val="000080"/>
        </w:rPr>
        <w:t xml:space="preserve"> </w:t>
      </w:r>
      <w:r w:rsidR="00775157">
        <w:rPr>
          <w:rFonts w:ascii="Times New Roman" w:hAnsi="Times New Roman"/>
          <w:b/>
          <w:bCs/>
          <w:color w:val="000080"/>
        </w:rPr>
        <w:t>S</w:t>
      </w:r>
      <w:r w:rsidR="00B10D27">
        <w:rPr>
          <w:rFonts w:ascii="Times New Roman" w:hAnsi="Times New Roman"/>
          <w:b/>
          <w:bCs/>
          <w:color w:val="000080"/>
        </w:rPr>
        <w:t>erviciul Fonduri Europene (SFE 10</w:t>
      </w:r>
      <w:r w:rsidR="00775157">
        <w:rPr>
          <w:rFonts w:ascii="Times New Roman" w:hAnsi="Times New Roman"/>
          <w:b/>
          <w:bCs/>
          <w:color w:val="000080"/>
        </w:rPr>
        <w:t>)</w:t>
      </w:r>
    </w:p>
    <w:p w:rsidR="00605130" w:rsidRDefault="00605130" w:rsidP="007B6FEE">
      <w:pPr>
        <w:jc w:val="center"/>
        <w:rPr>
          <w:rFonts w:ascii="Times New Roman" w:hAnsi="Times New Roman"/>
          <w:b/>
          <w:bCs/>
          <w:color w:val="000080"/>
        </w:rPr>
      </w:pPr>
    </w:p>
    <w:p w:rsidR="00822B3B" w:rsidRDefault="00822B3B" w:rsidP="007B6FEE">
      <w:pPr>
        <w:jc w:val="center"/>
        <w:rPr>
          <w:rFonts w:ascii="Times New Roman" w:hAnsi="Times New Roman"/>
          <w:b/>
          <w:bCs/>
          <w:color w:val="000080"/>
        </w:rPr>
      </w:pPr>
    </w:p>
    <w:p w:rsidR="00605130" w:rsidRPr="00605130" w:rsidRDefault="00605130" w:rsidP="00605130">
      <w:pPr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  <w:b/>
        </w:rPr>
      </w:pPr>
      <w:r w:rsidRPr="00605130">
        <w:rPr>
          <w:rFonts w:ascii="Times New Roman" w:hAnsi="Times New Roman"/>
        </w:rPr>
        <w:t xml:space="preserve">Analizează cerinţele Programelor de finanțare Naţionale: Programul Naţional de Investiţii Anghel Saligny, Programul Naţional de Consolidare a Clădirilor cu Risc Seismic ridicat, conform </w:t>
      </w:r>
      <w:bookmarkStart w:id="1" w:name="_Hlk148259713"/>
      <w:r w:rsidRPr="00605130">
        <w:rPr>
          <w:rFonts w:ascii="Times New Roman" w:hAnsi="Times New Roman"/>
        </w:rPr>
        <w:t>OUG nr. 49/2023</w:t>
      </w:r>
      <w:bookmarkEnd w:id="1"/>
      <w:r w:rsidRPr="00605130">
        <w:rPr>
          <w:rFonts w:ascii="Times New Roman" w:hAnsi="Times New Roman"/>
        </w:rPr>
        <w:t>, Programul de reabilitare termică, Programul național multianual privind creșterea performanței energetice a blocurilor de locuințe, AFM sau pentru orice alt program cu finanțare națională în cadrul căruia Sectorul 2 este eligibil;</w:t>
      </w:r>
    </w:p>
    <w:p w:rsidR="00605130" w:rsidRPr="00605130" w:rsidRDefault="00605130" w:rsidP="00605130">
      <w:pPr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  <w:b/>
        </w:rPr>
      </w:pPr>
      <w:r w:rsidRPr="00605130">
        <w:rPr>
          <w:rFonts w:ascii="Times New Roman" w:hAnsi="Times New Roman"/>
        </w:rPr>
        <w:t xml:space="preserve">Identifică surse de finanţare din programe naționale, Programul Naţional de Investiţii Anghel Saligny, Programul Naţional de Consolidare a Clădirilor cu Risc Seismic ridicat, conform OUG nr. 49/2023, Programul de reabilitare termică, Programul național multianual privind creșterea performanței energetice a blocurilor de locuințe, AFM sau din orice alte programe naţionale cu finanţare de la bugetul statului, pentru realizarea obiectivelor investiționale ale Sectorului 2; </w:t>
      </w:r>
    </w:p>
    <w:p w:rsidR="00605130" w:rsidRPr="00605130" w:rsidRDefault="00605130" w:rsidP="00605130">
      <w:pPr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  <w:b/>
        </w:rPr>
      </w:pPr>
      <w:r w:rsidRPr="00605130">
        <w:rPr>
          <w:rFonts w:ascii="Times New Roman" w:hAnsi="Times New Roman"/>
        </w:rPr>
        <w:t>Iniţiază propuneri de proiecte, conforme cu Strategia de dezvoltare Locală 2016 a Sectorului 2, care se pot derula din Programele de finanțare Naţionale de finanțare, respectiv Programul Naţional de Investiţii Anghel Saligny, Programul Naţional de Consolidare a Clădirilor cu Risc Seismic ridicat, conform OUG nr. 49/2023, Programul de reabilitare termică, Programul național multianual privind creșterea performanței energetice a blocurilor de locuințe, AFM sau prin orice alte programe naţionale cu finanţare de la bugetul statului;</w:t>
      </w:r>
    </w:p>
    <w:p w:rsidR="00605130" w:rsidRPr="00605130" w:rsidRDefault="00605130" w:rsidP="00605130">
      <w:pPr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  <w:r w:rsidRPr="00605130">
        <w:rPr>
          <w:rFonts w:ascii="Times New Roman" w:hAnsi="Times New Roman"/>
        </w:rPr>
        <w:t>Verifică criteriile de eligibilitate a Solicitantului și a proiectului, impuse de Ghidul Specific al Solicitantului, precum şi normele de aplicare, conform cerinţelor programelor naţionale de finanţare sau orice alte programe naţionale cu finanţare de la bugetul statului;</w:t>
      </w:r>
    </w:p>
    <w:p w:rsidR="00605130" w:rsidRPr="00605130" w:rsidRDefault="00605130" w:rsidP="00605130">
      <w:pPr>
        <w:numPr>
          <w:ilvl w:val="0"/>
          <w:numId w:val="12"/>
        </w:numPr>
        <w:spacing w:line="276" w:lineRule="auto"/>
        <w:contextualSpacing/>
        <w:jc w:val="both"/>
        <w:rPr>
          <w:rFonts w:ascii="Times New Roman" w:hAnsi="Times New Roman"/>
          <w:bCs/>
        </w:rPr>
      </w:pPr>
      <w:r w:rsidRPr="00605130">
        <w:rPr>
          <w:rFonts w:ascii="Times New Roman" w:hAnsi="Times New Roman"/>
          <w:bCs/>
        </w:rPr>
        <w:t xml:space="preserve">Participă la sesiuni de informare prilejuite de lansări ale diferitelor axe în cadrul programelor de finanţare naţionale, respectiv  </w:t>
      </w:r>
      <w:r w:rsidRPr="00605130">
        <w:rPr>
          <w:rFonts w:ascii="Times New Roman" w:hAnsi="Times New Roman"/>
        </w:rPr>
        <w:t xml:space="preserve">Programul Naţional de Investiţii Anghel Saligny, Programul Naţional de Consolidare a Clădirilor cu Risc Seismic ridicat, conform OUG nr. 49/2023, Programul de reabilitare termică, Programul național multianual privind creșterea performanței energetice a blocurilor de locuințe, AFM sau orice alte programe naţionale cu finanţare de la bugetul statului, </w:t>
      </w:r>
      <w:r w:rsidRPr="00605130">
        <w:rPr>
          <w:rFonts w:ascii="Times New Roman" w:hAnsi="Times New Roman"/>
          <w:bCs/>
        </w:rPr>
        <w:t xml:space="preserve">și diseminează informațiile în cadrul </w:t>
      </w:r>
      <w:proofErr w:type="spellStart"/>
      <w:r w:rsidRPr="00605130">
        <w:rPr>
          <w:rFonts w:ascii="Times New Roman" w:hAnsi="Times New Roman"/>
          <w:bCs/>
        </w:rPr>
        <w:t>Seeviciului</w:t>
      </w:r>
      <w:proofErr w:type="spellEnd"/>
      <w:r w:rsidRPr="00605130">
        <w:rPr>
          <w:rFonts w:ascii="Times New Roman" w:hAnsi="Times New Roman"/>
          <w:bCs/>
        </w:rPr>
        <w:t xml:space="preserve"> Fonduri Europene</w:t>
      </w:r>
      <w:r w:rsidRPr="00605130">
        <w:rPr>
          <w:rFonts w:ascii="Times New Roman" w:hAnsi="Times New Roman"/>
        </w:rPr>
        <w:t>;</w:t>
      </w:r>
    </w:p>
    <w:p w:rsidR="00605130" w:rsidRPr="00605130" w:rsidRDefault="00605130" w:rsidP="00605130">
      <w:pPr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  <w:r w:rsidRPr="00605130">
        <w:rPr>
          <w:rFonts w:ascii="Times New Roman" w:hAnsi="Times New Roman"/>
        </w:rPr>
        <w:t xml:space="preserve">Întocmește documentele anexă la Cererea de finanțare și Cererea de finanțare, precum şi depunerea acestora în </w:t>
      </w:r>
      <w:proofErr w:type="spellStart"/>
      <w:r w:rsidRPr="00605130">
        <w:rPr>
          <w:rFonts w:ascii="Times New Roman" w:hAnsi="Times New Roman"/>
        </w:rPr>
        <w:t>platfomele</w:t>
      </w:r>
      <w:proofErr w:type="spellEnd"/>
      <w:r w:rsidRPr="00605130">
        <w:rPr>
          <w:rFonts w:ascii="Times New Roman" w:hAnsi="Times New Roman"/>
        </w:rPr>
        <w:t xml:space="preserve"> dedicate programelor cu </w:t>
      </w:r>
      <w:proofErr w:type="spellStart"/>
      <w:r w:rsidRPr="00605130">
        <w:rPr>
          <w:rFonts w:ascii="Times New Roman" w:hAnsi="Times New Roman"/>
        </w:rPr>
        <w:t>finaţare</w:t>
      </w:r>
      <w:proofErr w:type="spellEnd"/>
      <w:r w:rsidRPr="00605130">
        <w:rPr>
          <w:rFonts w:ascii="Times New Roman" w:hAnsi="Times New Roman"/>
        </w:rPr>
        <w:t xml:space="preserve"> naţională, Programul Naţional de Investiţii Anghel Saligny, Programul Naţional de Consolidare a Clădirilor cu Risc Seismic ridicat, conform OUG nr. 49/2023, Programul de reabilitare termică, Programul național multianual privind creșterea performanței energetice a blocurilor de locuințe, AFM sau orice alte programe naţionale cu finanţare de la bugetul statului;</w:t>
      </w:r>
    </w:p>
    <w:p w:rsidR="00605130" w:rsidRPr="00605130" w:rsidRDefault="00605130" w:rsidP="00605130">
      <w:pPr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  <w:r w:rsidRPr="00605130">
        <w:rPr>
          <w:rFonts w:ascii="Times New Roman" w:hAnsi="Times New Roman"/>
        </w:rPr>
        <w:t xml:space="preserve">Întocmește și pregătește documentațiile solicitate în etapele de evaluare a proiectelor depuse la finanţare prin </w:t>
      </w:r>
      <w:r w:rsidRPr="00605130">
        <w:rPr>
          <w:rFonts w:ascii="Times New Roman" w:hAnsi="Times New Roman"/>
          <w:b/>
          <w:bCs/>
        </w:rPr>
        <w:t>programe naţionale</w:t>
      </w:r>
      <w:r w:rsidRPr="00605130">
        <w:rPr>
          <w:rFonts w:ascii="Times New Roman" w:hAnsi="Times New Roman"/>
        </w:rPr>
        <w:t xml:space="preserve">; </w:t>
      </w:r>
    </w:p>
    <w:p w:rsidR="00605130" w:rsidRPr="00605130" w:rsidRDefault="00605130" w:rsidP="00605130">
      <w:pPr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  <w:r w:rsidRPr="00605130">
        <w:rPr>
          <w:rFonts w:ascii="Times New Roman" w:hAnsi="Times New Roman"/>
        </w:rPr>
        <w:lastRenderedPageBreak/>
        <w:t xml:space="preserve">Participă în comisiile de evaluare a ofertelor depuse de prestatorii de servicii în vederea contractării serviciilor necesare depunerii la finanțare a proiectelor finanțate din </w:t>
      </w:r>
      <w:r w:rsidRPr="00605130">
        <w:rPr>
          <w:rFonts w:ascii="Times New Roman" w:hAnsi="Times New Roman"/>
          <w:b/>
          <w:bCs/>
        </w:rPr>
        <w:t>fonduri naționale</w:t>
      </w:r>
      <w:r w:rsidRPr="00605130">
        <w:rPr>
          <w:rFonts w:ascii="Times New Roman" w:hAnsi="Times New Roman"/>
        </w:rPr>
        <w:t xml:space="preserve"> și în comisiile de recepție a serviciilor;</w:t>
      </w:r>
    </w:p>
    <w:p w:rsidR="00605130" w:rsidRPr="00605130" w:rsidRDefault="00605130" w:rsidP="00605130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605130">
        <w:rPr>
          <w:rFonts w:ascii="Times New Roman" w:hAnsi="Times New Roman"/>
        </w:rPr>
        <w:t xml:space="preserve">Participă la elaborarea caietelor de sarcini pentru achiziţiile realizate în etapele de iniţiere şi implementare a proiectelor depuse la finanţare prin </w:t>
      </w:r>
      <w:r w:rsidRPr="00605130">
        <w:rPr>
          <w:rFonts w:ascii="Times New Roman" w:hAnsi="Times New Roman"/>
          <w:b/>
          <w:bCs/>
        </w:rPr>
        <w:t>programe naţionale</w:t>
      </w:r>
      <w:r w:rsidRPr="00605130">
        <w:rPr>
          <w:rFonts w:ascii="Times New Roman" w:hAnsi="Times New Roman"/>
        </w:rPr>
        <w:t xml:space="preserve">, propunând măsuri care să faciliteze procesul de evaluare, monitorizare, recepţie pentru produsele, serviciile, lucrările achiziţionate; </w:t>
      </w:r>
    </w:p>
    <w:p w:rsidR="00605130" w:rsidRPr="00605130" w:rsidRDefault="00605130" w:rsidP="00605130">
      <w:pPr>
        <w:numPr>
          <w:ilvl w:val="0"/>
          <w:numId w:val="12"/>
        </w:num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  <w:r w:rsidRPr="00605130">
        <w:rPr>
          <w:rFonts w:ascii="Times New Roman" w:hAnsi="Times New Roman"/>
        </w:rPr>
        <w:t xml:space="preserve">Participă în comisiile de recepție a serviciilor achiziționate în cadrul proiectului/proiectelor finanțate din </w:t>
      </w:r>
      <w:r w:rsidRPr="00605130">
        <w:rPr>
          <w:rFonts w:ascii="Times New Roman" w:hAnsi="Times New Roman"/>
          <w:b/>
          <w:bCs/>
        </w:rPr>
        <w:t>fonduri naționale</w:t>
      </w:r>
      <w:r w:rsidRPr="00605130">
        <w:rPr>
          <w:rFonts w:ascii="Times New Roman" w:hAnsi="Times New Roman"/>
        </w:rPr>
        <w:t>;</w:t>
      </w:r>
    </w:p>
    <w:p w:rsidR="00605130" w:rsidRPr="00605130" w:rsidRDefault="00605130" w:rsidP="00605130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605130">
        <w:rPr>
          <w:rFonts w:ascii="Times New Roman" w:hAnsi="Times New Roman"/>
        </w:rPr>
        <w:t xml:space="preserve">Elaborează şi prezintă rapoarte şi informări privind </w:t>
      </w:r>
      <w:r w:rsidRPr="00605130">
        <w:rPr>
          <w:rFonts w:ascii="Times New Roman" w:hAnsi="Times New Roman"/>
          <w:b/>
          <w:bCs/>
        </w:rPr>
        <w:t>proiecte cu finanţare naţională</w:t>
      </w:r>
      <w:r w:rsidRPr="00605130">
        <w:rPr>
          <w:rFonts w:ascii="Times New Roman" w:hAnsi="Times New Roman"/>
        </w:rPr>
        <w:t>, de la bugetul statului derulate de către autoritatea locală, stadiul acestora, la cererea Primarului Sectorului 2;</w:t>
      </w:r>
    </w:p>
    <w:p w:rsidR="00605130" w:rsidRPr="00605130" w:rsidRDefault="00605130" w:rsidP="00605130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605130">
        <w:rPr>
          <w:rFonts w:ascii="Times New Roman" w:hAnsi="Times New Roman"/>
        </w:rPr>
        <w:t xml:space="preserve">Întocmește prezentări privind proiectele implementate de Primăria Sectorului 2 cu </w:t>
      </w:r>
      <w:r w:rsidRPr="00605130">
        <w:rPr>
          <w:rFonts w:ascii="Times New Roman" w:hAnsi="Times New Roman"/>
          <w:b/>
          <w:bCs/>
        </w:rPr>
        <w:t>fonduri naţionale</w:t>
      </w:r>
      <w:r w:rsidRPr="00605130">
        <w:rPr>
          <w:rFonts w:ascii="Times New Roman" w:hAnsi="Times New Roman"/>
        </w:rPr>
        <w:t>, de la bugetul statului, cu prilejul diferitelor evenimente;</w:t>
      </w:r>
    </w:p>
    <w:p w:rsidR="00605130" w:rsidRPr="00605130" w:rsidRDefault="00605130" w:rsidP="00605130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</w:rPr>
      </w:pPr>
      <w:r w:rsidRPr="00605130">
        <w:rPr>
          <w:rFonts w:ascii="Times New Roman" w:hAnsi="Times New Roman"/>
          <w:bCs/>
        </w:rPr>
        <w:t xml:space="preserve">Participă la implementarea proiectelor care au obținut finanțare externă, </w:t>
      </w:r>
      <w:r w:rsidRPr="00605130">
        <w:rPr>
          <w:rFonts w:ascii="Times New Roman" w:hAnsi="Times New Roman"/>
          <w:b/>
        </w:rPr>
        <w:t>naţională</w:t>
      </w:r>
      <w:r w:rsidRPr="00605130">
        <w:rPr>
          <w:rFonts w:ascii="Times New Roman" w:hAnsi="Times New Roman"/>
          <w:bCs/>
        </w:rPr>
        <w:t xml:space="preserve"> și în cadrul cărora a fost nominalizat în echipa de implementare.</w:t>
      </w:r>
    </w:p>
    <w:p w:rsidR="00605130" w:rsidRPr="00605130" w:rsidRDefault="00605130" w:rsidP="00605130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</w:rPr>
      </w:pPr>
      <w:r w:rsidRPr="00605130">
        <w:rPr>
          <w:rFonts w:ascii="Times New Roman" w:hAnsi="Times New Roman"/>
          <w:bCs/>
        </w:rPr>
        <w:t xml:space="preserve">Participă la vizitele de monitorizare efectuate în perioada post-implementare, la proiectele finanţate prin </w:t>
      </w:r>
      <w:r w:rsidRPr="00605130">
        <w:rPr>
          <w:rFonts w:ascii="Times New Roman" w:hAnsi="Times New Roman"/>
          <w:b/>
        </w:rPr>
        <w:t>programe naţionale</w:t>
      </w:r>
      <w:r w:rsidRPr="00605130">
        <w:rPr>
          <w:rFonts w:ascii="Times New Roman" w:hAnsi="Times New Roman"/>
          <w:bCs/>
        </w:rPr>
        <w:t>;</w:t>
      </w:r>
    </w:p>
    <w:p w:rsidR="00605130" w:rsidRPr="00605130" w:rsidRDefault="00605130" w:rsidP="00605130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</w:rPr>
      </w:pPr>
      <w:r w:rsidRPr="00605130">
        <w:rPr>
          <w:rFonts w:ascii="Times New Roman" w:hAnsi="Times New Roman"/>
          <w:bCs/>
        </w:rPr>
        <w:t xml:space="preserve">Participă, dacă este cazul, la întocmirea rapoartelor de durabilitate în perioada post-implementare, pentru </w:t>
      </w:r>
      <w:r w:rsidRPr="00605130">
        <w:rPr>
          <w:rFonts w:ascii="Times New Roman" w:hAnsi="Times New Roman"/>
          <w:b/>
        </w:rPr>
        <w:t>proiectele cu finanţare de la bugetul de stat</w:t>
      </w:r>
      <w:r w:rsidRPr="00605130">
        <w:rPr>
          <w:rFonts w:ascii="Times New Roman" w:hAnsi="Times New Roman"/>
          <w:bCs/>
        </w:rPr>
        <w:t>;</w:t>
      </w:r>
    </w:p>
    <w:p w:rsidR="00605130" w:rsidRPr="00605130" w:rsidRDefault="00605130" w:rsidP="00605130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</w:rPr>
      </w:pPr>
      <w:r w:rsidRPr="00605130">
        <w:rPr>
          <w:rFonts w:ascii="Times New Roman" w:hAnsi="Times New Roman"/>
          <w:bCs/>
        </w:rPr>
        <w:t xml:space="preserve">Redactează diverse adrese şi scrisori (cu caracter ocazional) ale serviciului, adresate  organizaţiilor sau instituţiilor, referitoare la activitatea pe care o desfăşoară, în concordanţă </w:t>
      </w:r>
      <w:r w:rsidRPr="00605130">
        <w:rPr>
          <w:rFonts w:ascii="Times New Roman" w:hAnsi="Times New Roman"/>
          <w:b/>
        </w:rPr>
        <w:t>cu cerinţele programelor naţionale cu finanţare de la bugetul statului</w:t>
      </w:r>
      <w:r w:rsidRPr="00605130">
        <w:rPr>
          <w:rFonts w:ascii="Times New Roman" w:hAnsi="Times New Roman"/>
          <w:bCs/>
        </w:rPr>
        <w:t>.</w:t>
      </w:r>
    </w:p>
    <w:p w:rsidR="00605130" w:rsidRPr="00605130" w:rsidRDefault="00605130" w:rsidP="00605130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Cs/>
        </w:rPr>
      </w:pPr>
      <w:r w:rsidRPr="00605130">
        <w:rPr>
          <w:rFonts w:ascii="Times New Roman" w:hAnsi="Times New Roman"/>
          <w:bCs/>
        </w:rPr>
        <w:t xml:space="preserve">Efectuează </w:t>
      </w:r>
      <w:r w:rsidRPr="00605130">
        <w:rPr>
          <w:rFonts w:ascii="Times New Roman" w:hAnsi="Times New Roman"/>
          <w:bCs/>
          <w:i/>
        </w:rPr>
        <w:t>orice altă sarcină profesională</w:t>
      </w:r>
      <w:r w:rsidRPr="00605130">
        <w:rPr>
          <w:rFonts w:ascii="Times New Roman" w:hAnsi="Times New Roman"/>
          <w:bCs/>
        </w:rPr>
        <w:t xml:space="preserve"> care are legătură cu  atribuțiile serviciului, solicitate de Șeful Serviciului sau Directorul Executiv.</w:t>
      </w:r>
    </w:p>
    <w:p w:rsidR="00692896" w:rsidRPr="00605130" w:rsidRDefault="00692896" w:rsidP="007B6FEE">
      <w:pPr>
        <w:jc w:val="center"/>
        <w:rPr>
          <w:rFonts w:ascii="Times New Roman" w:hAnsi="Times New Roman"/>
          <w:b/>
          <w:bCs/>
          <w:color w:val="000080"/>
        </w:rPr>
      </w:pPr>
    </w:p>
    <w:sectPr w:rsidR="00692896" w:rsidRPr="00605130" w:rsidSect="00822B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4" w:right="902" w:bottom="680" w:left="907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C43" w:rsidRDefault="003B4C43" w:rsidP="00721DC5">
      <w:r>
        <w:separator/>
      </w:r>
    </w:p>
  </w:endnote>
  <w:endnote w:type="continuationSeparator" w:id="0">
    <w:p w:rsidR="003B4C43" w:rsidRDefault="003B4C43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D3A" w:rsidRDefault="00EC4D3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D3A" w:rsidRDefault="00EC4D3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D3A" w:rsidRDefault="00EC4D3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C43" w:rsidRDefault="003B4C43" w:rsidP="00721DC5">
      <w:r>
        <w:separator/>
      </w:r>
    </w:p>
  </w:footnote>
  <w:footnote w:type="continuationSeparator" w:id="0">
    <w:p w:rsidR="003B4C43" w:rsidRDefault="003B4C43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D3A" w:rsidRDefault="00EC4D3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DC5" w:rsidRDefault="00721DC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D3A" w:rsidRDefault="00EC4D3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057"/>
    <w:multiLevelType w:val="hybridMultilevel"/>
    <w:tmpl w:val="34620A56"/>
    <w:lvl w:ilvl="0" w:tplc="588E9F5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3292A"/>
    <w:multiLevelType w:val="multilevel"/>
    <w:tmpl w:val="35101F1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D423532"/>
    <w:multiLevelType w:val="hybridMultilevel"/>
    <w:tmpl w:val="1A160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33351"/>
    <w:multiLevelType w:val="hybridMultilevel"/>
    <w:tmpl w:val="E8F6BE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pacing w:val="0"/>
        <w:position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A1543"/>
    <w:multiLevelType w:val="hybridMultilevel"/>
    <w:tmpl w:val="805CB660"/>
    <w:lvl w:ilvl="0" w:tplc="04A47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F7A76F5"/>
    <w:multiLevelType w:val="hybridMultilevel"/>
    <w:tmpl w:val="C28E6D28"/>
    <w:lvl w:ilvl="0" w:tplc="0D5CD4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0"/>
  </w:num>
  <w:num w:numId="8">
    <w:abstractNumId w:val="4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45758"/>
    <w:rsid w:val="0006677A"/>
    <w:rsid w:val="000C15D5"/>
    <w:rsid w:val="000C6ADE"/>
    <w:rsid w:val="000D20EB"/>
    <w:rsid w:val="001D5589"/>
    <w:rsid w:val="001E2B4F"/>
    <w:rsid w:val="00232E40"/>
    <w:rsid w:val="00243CA5"/>
    <w:rsid w:val="002A2C2E"/>
    <w:rsid w:val="002C1211"/>
    <w:rsid w:val="002F516D"/>
    <w:rsid w:val="00306FE6"/>
    <w:rsid w:val="0031605C"/>
    <w:rsid w:val="003B4C43"/>
    <w:rsid w:val="003B6D64"/>
    <w:rsid w:val="00464317"/>
    <w:rsid w:val="0049275C"/>
    <w:rsid w:val="004A7EB0"/>
    <w:rsid w:val="004B6F67"/>
    <w:rsid w:val="00506380"/>
    <w:rsid w:val="005A3786"/>
    <w:rsid w:val="005A5B20"/>
    <w:rsid w:val="005D4E39"/>
    <w:rsid w:val="005E2BB8"/>
    <w:rsid w:val="00605130"/>
    <w:rsid w:val="006114F4"/>
    <w:rsid w:val="006517A3"/>
    <w:rsid w:val="00675E08"/>
    <w:rsid w:val="0068283D"/>
    <w:rsid w:val="00692896"/>
    <w:rsid w:val="006D55EA"/>
    <w:rsid w:val="006E4724"/>
    <w:rsid w:val="00721DC5"/>
    <w:rsid w:val="00734BAB"/>
    <w:rsid w:val="00775157"/>
    <w:rsid w:val="007B6FEE"/>
    <w:rsid w:val="007D1384"/>
    <w:rsid w:val="008200CA"/>
    <w:rsid w:val="00822B3B"/>
    <w:rsid w:val="00846EAB"/>
    <w:rsid w:val="0086673E"/>
    <w:rsid w:val="00895612"/>
    <w:rsid w:val="008D20F6"/>
    <w:rsid w:val="008F4A04"/>
    <w:rsid w:val="009B1F1B"/>
    <w:rsid w:val="00A075BD"/>
    <w:rsid w:val="00B10D27"/>
    <w:rsid w:val="00B73F8D"/>
    <w:rsid w:val="00BC089C"/>
    <w:rsid w:val="00C50F69"/>
    <w:rsid w:val="00C7590A"/>
    <w:rsid w:val="00C93DB2"/>
    <w:rsid w:val="00CF59E1"/>
    <w:rsid w:val="00D03DB7"/>
    <w:rsid w:val="00D32746"/>
    <w:rsid w:val="00D51775"/>
    <w:rsid w:val="00DE6C32"/>
    <w:rsid w:val="00DE7D82"/>
    <w:rsid w:val="00E15401"/>
    <w:rsid w:val="00E2240F"/>
    <w:rsid w:val="00E547D0"/>
    <w:rsid w:val="00EB42C5"/>
    <w:rsid w:val="00EC2F97"/>
    <w:rsid w:val="00EC4D3A"/>
    <w:rsid w:val="00F52913"/>
    <w:rsid w:val="00F52AE6"/>
    <w:rsid w:val="00FC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2024-01-18T06:08:00Z</dcterms:created>
  <dcterms:modified xsi:type="dcterms:W3CDTF">2024-01-18T06:08:00Z</dcterms:modified>
</cp:coreProperties>
</file>