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B21B8" w14:textId="77777777" w:rsidR="00BF0F4C" w:rsidRDefault="00BF0F4C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bookmarkStart w:id="0" w:name="_GoBack"/>
      <w:bookmarkEnd w:id="0"/>
    </w:p>
    <w:p w14:paraId="754945F0" w14:textId="77777777" w:rsidR="00437878" w:rsidRDefault="00437878" w:rsidP="00437878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>
        <w:rPr>
          <w:noProof/>
        </w:rPr>
        <w:drawing>
          <wp:inline distT="0" distB="0" distL="0" distR="0" wp14:anchorId="369D7A55" wp14:editId="526AD5E9">
            <wp:extent cx="5903595" cy="1098094"/>
            <wp:effectExtent l="0" t="0" r="1905" b="698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109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D2898" w14:textId="77777777" w:rsidR="00763273" w:rsidRDefault="00763273" w:rsidP="00726302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14:paraId="6ADC6C81" w14:textId="77777777" w:rsidR="003C32B1" w:rsidRPr="00832234" w:rsidRDefault="003C32B1" w:rsidP="00726302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832234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14:paraId="58F2E1DD" w14:textId="77777777" w:rsidR="00763273" w:rsidRPr="00763273" w:rsidRDefault="00763273" w:rsidP="00763273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lang w:eastAsia="en-US"/>
        </w:rPr>
      </w:pPr>
      <w:r w:rsidRPr="00763273">
        <w:rPr>
          <w:b/>
          <w:bCs/>
          <w:i/>
          <w:iCs/>
          <w:color w:val="000000"/>
          <w:lang w:eastAsia="en-US"/>
        </w:rPr>
        <w:t xml:space="preserve">la concursul de ocupare a funcției publice unice vacante de </w:t>
      </w:r>
    </w:p>
    <w:p w14:paraId="78CFCB3A" w14:textId="77777777" w:rsidR="00763273" w:rsidRPr="00763273" w:rsidRDefault="00763273" w:rsidP="00763273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lang w:eastAsia="en-US"/>
        </w:rPr>
      </w:pPr>
      <w:r w:rsidRPr="00763273">
        <w:rPr>
          <w:b/>
          <w:bCs/>
          <w:i/>
          <w:iCs/>
          <w:color w:val="000000"/>
          <w:lang w:eastAsia="en-US"/>
        </w:rPr>
        <w:t xml:space="preserve">consilier, clasa I, grad profesional superior de la </w:t>
      </w:r>
    </w:p>
    <w:p w14:paraId="56B45825" w14:textId="66DF17F7" w:rsidR="00763273" w:rsidRPr="00763273" w:rsidRDefault="00763273" w:rsidP="00763273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lang w:eastAsia="en-US"/>
        </w:rPr>
      </w:pPr>
      <w:r w:rsidRPr="00763273">
        <w:rPr>
          <w:b/>
          <w:bCs/>
          <w:i/>
          <w:iCs/>
          <w:color w:val="000000"/>
          <w:lang w:eastAsia="en-US"/>
        </w:rPr>
        <w:t xml:space="preserve">Serviciul Fonduri Europene – DGPDUFE ( ID </w:t>
      </w:r>
      <w:r w:rsidR="003B754F">
        <w:rPr>
          <w:b/>
          <w:bCs/>
          <w:i/>
          <w:iCs/>
          <w:color w:val="000000"/>
          <w:lang w:eastAsia="en-US"/>
        </w:rPr>
        <w:t>567300</w:t>
      </w:r>
      <w:r w:rsidRPr="00763273">
        <w:rPr>
          <w:b/>
          <w:bCs/>
          <w:i/>
          <w:iCs/>
          <w:color w:val="000000"/>
          <w:lang w:eastAsia="en-US"/>
        </w:rPr>
        <w:t>)</w:t>
      </w:r>
    </w:p>
    <w:p w14:paraId="52BE582D" w14:textId="77777777" w:rsidR="00437878" w:rsidRDefault="00437878" w:rsidP="00437878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14:paraId="6B49A816" w14:textId="77777777" w:rsidR="007B6229" w:rsidRPr="00DB46BE" w:rsidRDefault="007B6229" w:rsidP="003B754F">
      <w:pPr>
        <w:spacing w:line="276" w:lineRule="auto"/>
        <w:ind w:left="-284" w:right="-143"/>
        <w:jc w:val="both"/>
        <w:rPr>
          <w:b/>
          <w:lang w:val="en-US"/>
        </w:rPr>
      </w:pPr>
      <w:r>
        <w:rPr>
          <w:b/>
          <w:lang w:val="it-IT"/>
        </w:rPr>
        <w:t>1</w:t>
      </w:r>
      <w:r w:rsidRPr="005E77A7">
        <w:rPr>
          <w:b/>
          <w:lang w:val="it-IT"/>
        </w:rPr>
        <w:t xml:space="preserve">. </w:t>
      </w:r>
      <w:r w:rsidRPr="00DB46BE">
        <w:rPr>
          <w:b/>
          <w:lang w:val="it-IT"/>
        </w:rPr>
        <w:t>Constitu</w:t>
      </w:r>
      <w:r w:rsidRPr="00DB46BE">
        <w:rPr>
          <w:b/>
        </w:rPr>
        <w:t>ția României, republicată</w:t>
      </w:r>
      <w:r w:rsidRPr="00DB46BE">
        <w:rPr>
          <w:b/>
          <w:lang w:val="en-US"/>
        </w:rPr>
        <w:t>.</w:t>
      </w:r>
    </w:p>
    <w:p w14:paraId="03C249DC" w14:textId="77777777" w:rsidR="007B6229" w:rsidRPr="00DB46BE" w:rsidRDefault="007B6229" w:rsidP="003B754F">
      <w:pPr>
        <w:spacing w:line="276" w:lineRule="auto"/>
        <w:ind w:left="567" w:right="-143"/>
        <w:jc w:val="both"/>
        <w:rPr>
          <w:lang w:val="it-IT"/>
        </w:rPr>
      </w:pPr>
      <w:r w:rsidRPr="00DB46BE">
        <w:rPr>
          <w:lang w:val="it-IT"/>
        </w:rPr>
        <w:t>Drepturile, libertățile și îndatoririle fundamentale;</w:t>
      </w:r>
    </w:p>
    <w:p w14:paraId="4F9825C2" w14:textId="77777777" w:rsidR="007B6229" w:rsidRPr="00DB46BE" w:rsidRDefault="007B6229" w:rsidP="0050019F">
      <w:pPr>
        <w:spacing w:line="276" w:lineRule="auto"/>
        <w:ind w:left="567" w:right="-143"/>
        <w:jc w:val="both"/>
        <w:rPr>
          <w:lang w:val="it-IT"/>
        </w:rPr>
      </w:pPr>
      <w:r w:rsidRPr="00DB46BE">
        <w:rPr>
          <w:lang w:val="it-IT"/>
        </w:rPr>
        <w:t>Administrația publică locală;</w:t>
      </w:r>
    </w:p>
    <w:p w14:paraId="1AED5D18" w14:textId="77777777" w:rsidR="007B6229" w:rsidRPr="00DB46BE" w:rsidRDefault="007B6229" w:rsidP="0050019F">
      <w:pPr>
        <w:spacing w:line="276" w:lineRule="auto"/>
        <w:ind w:left="-284" w:right="-143"/>
        <w:jc w:val="both"/>
        <w:rPr>
          <w:b/>
          <w:lang w:val="it-IT"/>
        </w:rPr>
      </w:pPr>
      <w:r w:rsidRPr="00DB46BE">
        <w:rPr>
          <w:b/>
          <w:lang w:val="it-IT"/>
        </w:rPr>
        <w:t xml:space="preserve">2. Ordonanța  de  Urgență  nr. 57/2019  privind  Codul  administrativ,  cu  modificările  și </w:t>
      </w:r>
    </w:p>
    <w:p w14:paraId="1F191E7D" w14:textId="77777777" w:rsidR="007B6229" w:rsidRPr="00DB46BE" w:rsidRDefault="007B6229" w:rsidP="003B754F">
      <w:pPr>
        <w:spacing w:line="276" w:lineRule="auto"/>
        <w:ind w:left="-284" w:right="-143"/>
        <w:jc w:val="both"/>
        <w:rPr>
          <w:b/>
          <w:lang w:val="it-IT"/>
        </w:rPr>
      </w:pPr>
      <w:r w:rsidRPr="00DB46BE">
        <w:rPr>
          <w:b/>
          <w:lang w:val="it-IT"/>
        </w:rPr>
        <w:t>completările ulterioare.</w:t>
      </w:r>
    </w:p>
    <w:p w14:paraId="37870C9D" w14:textId="7220CE2E" w:rsidR="007A19F7" w:rsidRDefault="007B6229" w:rsidP="003B754F">
      <w:pPr>
        <w:spacing w:line="276" w:lineRule="auto"/>
        <w:ind w:left="-284" w:right="-143"/>
        <w:jc w:val="both"/>
      </w:pPr>
      <w:r w:rsidRPr="00DB46BE">
        <w:rPr>
          <w:b/>
          <w:lang w:val="it-IT"/>
        </w:rPr>
        <w:tab/>
      </w:r>
      <w:r w:rsidRPr="00DB46BE">
        <w:rPr>
          <w:b/>
          <w:bCs/>
          <w:lang w:val="it-IT"/>
        </w:rPr>
        <w:t xml:space="preserve"> </w:t>
      </w:r>
      <w:r w:rsidR="0014606B" w:rsidRPr="00DB46BE">
        <w:rPr>
          <w:b/>
          <w:bCs/>
          <w:lang w:val="it-IT"/>
        </w:rPr>
        <w:t xml:space="preserve">       </w:t>
      </w:r>
      <w:r w:rsidR="007A19F7" w:rsidRPr="007A19F7">
        <w:t>Reguli specifice privind proprietatea publică și privată a statului sau a unităților administrativ-teritoriale</w:t>
      </w:r>
    </w:p>
    <w:p w14:paraId="3C544ED6" w14:textId="77777777" w:rsidR="00C80550" w:rsidRDefault="00C80550" w:rsidP="003B754F">
      <w:pPr>
        <w:spacing w:line="276" w:lineRule="auto"/>
        <w:ind w:left="-284" w:right="-143" w:firstLine="851"/>
        <w:jc w:val="both"/>
      </w:pPr>
      <w:r w:rsidRPr="00DB46BE">
        <w:t>Dispoziții generale;</w:t>
      </w:r>
    </w:p>
    <w:p w14:paraId="79956592" w14:textId="77777777" w:rsidR="007B6229" w:rsidRPr="00DB46BE" w:rsidRDefault="007B6229" w:rsidP="0050019F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DB46BE">
        <w:t>Statutul funcţionarilor publici;</w:t>
      </w:r>
    </w:p>
    <w:p w14:paraId="73668EB8" w14:textId="77777777" w:rsidR="007B6229" w:rsidRPr="00DB46BE" w:rsidRDefault="007B6229" w:rsidP="0050019F">
      <w:pPr>
        <w:spacing w:line="276" w:lineRule="auto"/>
        <w:ind w:left="-284" w:right="-143"/>
        <w:jc w:val="both"/>
        <w:rPr>
          <w:b/>
          <w:lang w:val="it-IT"/>
        </w:rPr>
      </w:pPr>
      <w:r w:rsidRPr="00DB46BE">
        <w:rPr>
          <w:b/>
          <w:lang w:val="it-IT"/>
        </w:rPr>
        <w:t xml:space="preserve">3. Ordonanţa Guvernului nr. 137/2000 privind prevenirea şi sancţionarea tuturor formelor de discriminare, republicată, cu modificările şi completările ulterioare.   </w:t>
      </w:r>
    </w:p>
    <w:p w14:paraId="407E0C46" w14:textId="77777777" w:rsidR="007B6229" w:rsidRPr="00DB46BE" w:rsidRDefault="007B6229" w:rsidP="003B754F">
      <w:pPr>
        <w:spacing w:line="276" w:lineRule="auto"/>
        <w:ind w:left="567" w:right="-143"/>
        <w:jc w:val="both"/>
      </w:pPr>
      <w:r w:rsidRPr="00DB46BE">
        <w:t>Discriminarea şi hărţuirea morală la locul de muncă;</w:t>
      </w:r>
    </w:p>
    <w:p w14:paraId="3EA9B4C5" w14:textId="77777777" w:rsidR="007B6229" w:rsidRPr="00DB46BE" w:rsidRDefault="007B6229" w:rsidP="003B754F">
      <w:pPr>
        <w:spacing w:line="276" w:lineRule="auto"/>
        <w:ind w:left="567" w:right="-143"/>
        <w:jc w:val="both"/>
      </w:pPr>
      <w:r w:rsidRPr="00DB46BE">
        <w:t>Dreptul la demnitate personală;</w:t>
      </w:r>
    </w:p>
    <w:p w14:paraId="0F88AD28" w14:textId="77777777" w:rsidR="007B6229" w:rsidRPr="00DB46BE" w:rsidRDefault="007B6229" w:rsidP="003B754F">
      <w:pPr>
        <w:spacing w:line="276" w:lineRule="auto"/>
        <w:ind w:left="567" w:right="-143"/>
        <w:jc w:val="both"/>
      </w:pPr>
      <w:r w:rsidRPr="00DB46BE">
        <w:t>Consiliul Naţional pentru Combaterea Discriminării;</w:t>
      </w:r>
    </w:p>
    <w:p w14:paraId="096784DE" w14:textId="77777777" w:rsidR="007B6229" w:rsidRPr="00DB46BE" w:rsidRDefault="007B6229" w:rsidP="0050019F">
      <w:pPr>
        <w:spacing w:line="276" w:lineRule="auto"/>
        <w:ind w:left="567" w:right="-143"/>
        <w:jc w:val="both"/>
      </w:pPr>
      <w:r w:rsidRPr="00DB46BE">
        <w:t>Sancţionarea formelor de discriminare;</w:t>
      </w:r>
    </w:p>
    <w:p w14:paraId="6360E800" w14:textId="77777777" w:rsidR="0014606B" w:rsidRPr="00DB46BE" w:rsidRDefault="0014606B" w:rsidP="0050019F">
      <w:pPr>
        <w:spacing w:line="276" w:lineRule="auto"/>
        <w:ind w:left="-284" w:right="-143"/>
        <w:jc w:val="both"/>
        <w:rPr>
          <w:b/>
        </w:rPr>
      </w:pPr>
      <w:r w:rsidRPr="00DB46BE">
        <w:rPr>
          <w:b/>
        </w:rPr>
        <w:t xml:space="preserve">4. </w:t>
      </w:r>
      <w:r w:rsidR="007B6229" w:rsidRPr="00DB46BE">
        <w:rPr>
          <w:b/>
        </w:rPr>
        <w:t>Legea nr. 202/2002 privind egalitatea de şanse şi tratament între femei şi bărbaţi, republicată, cu modificările şi completările ulterioare.</w:t>
      </w:r>
    </w:p>
    <w:p w14:paraId="17B1406A" w14:textId="77777777" w:rsidR="0014606B" w:rsidRPr="00DB46BE" w:rsidRDefault="0014606B" w:rsidP="003B754F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DB46BE">
        <w:t>Egalitatea de şanse şi tratament între femei şi bărbaţi în domeniul muncii;</w:t>
      </w:r>
    </w:p>
    <w:p w14:paraId="0600D204" w14:textId="77777777" w:rsidR="0014606B" w:rsidRPr="00DB46BE" w:rsidRDefault="0014606B" w:rsidP="003B754F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DB46BE">
        <w:t>Agenţia Naţională pentru Egalitatea de Şanse între Femei şi Bărbaţi;</w:t>
      </w:r>
    </w:p>
    <w:p w14:paraId="68859D12" w14:textId="77777777" w:rsidR="0014606B" w:rsidRPr="00DB46BE" w:rsidRDefault="0014606B" w:rsidP="0050019F">
      <w:pPr>
        <w:spacing w:line="276" w:lineRule="auto"/>
        <w:ind w:left="567" w:right="-143"/>
        <w:jc w:val="both"/>
      </w:pPr>
      <w:r w:rsidRPr="00DB46BE">
        <w:t>Soluţionarea sesizărilor şi reclamaţiilor privind discriminarea pe criteriul sex;</w:t>
      </w:r>
    </w:p>
    <w:p w14:paraId="68E7AF87" w14:textId="77777777" w:rsidR="0014606B" w:rsidRPr="00DB46BE" w:rsidRDefault="0014606B" w:rsidP="0050019F">
      <w:pPr>
        <w:spacing w:line="276" w:lineRule="auto"/>
        <w:ind w:left="-284" w:right="-143"/>
        <w:jc w:val="both"/>
        <w:rPr>
          <w:b/>
        </w:rPr>
      </w:pPr>
      <w:r w:rsidRPr="00DB46BE">
        <w:rPr>
          <w:b/>
        </w:rPr>
        <w:t>5. HG nr. 907 din 29 noiembrie 2016 privind etapele de elaborare şi conţinutul-cadru al documentaţiilor tehnicoeconomice aferente obiectivelor/proiectelor de investiţii finanţate din fonduri publice, cu modificările și completările ulterioare.</w:t>
      </w:r>
    </w:p>
    <w:p w14:paraId="1B45AEC7" w14:textId="4CC127AC" w:rsidR="0014606B" w:rsidRDefault="0014606B" w:rsidP="003B754F">
      <w:pPr>
        <w:spacing w:line="276" w:lineRule="auto"/>
        <w:ind w:left="-284" w:right="-142"/>
        <w:jc w:val="both"/>
      </w:pPr>
      <w:r w:rsidRPr="00DB46BE">
        <w:rPr>
          <w:b/>
        </w:rPr>
        <w:tab/>
      </w:r>
      <w:r w:rsidRPr="00B83209">
        <w:t xml:space="preserve">          </w:t>
      </w:r>
      <w:r w:rsidR="00B83209" w:rsidRPr="00B83209">
        <w:t>Capitolul I</w:t>
      </w:r>
      <w:r w:rsidR="00B83209">
        <w:t xml:space="preserve"> - </w:t>
      </w:r>
      <w:r w:rsidR="00B83209" w:rsidRPr="00B83209">
        <w:t>Dispoziţii generale</w:t>
      </w:r>
      <w:r w:rsidR="003A7003">
        <w:t>;</w:t>
      </w:r>
    </w:p>
    <w:p w14:paraId="735776F7" w14:textId="291BD3CB" w:rsidR="00B83209" w:rsidRDefault="00B83209" w:rsidP="003B754F">
      <w:pPr>
        <w:spacing w:line="276" w:lineRule="auto"/>
        <w:ind w:left="-284" w:right="-142"/>
        <w:jc w:val="both"/>
      </w:pPr>
      <w:r>
        <w:tab/>
        <w:t xml:space="preserve">          Capitolul II - </w:t>
      </w:r>
      <w:r w:rsidRPr="00B83209">
        <w:t>Nota conceptuală şi tema de proiectare</w:t>
      </w:r>
      <w:r w:rsidR="003A7003">
        <w:t>;</w:t>
      </w:r>
    </w:p>
    <w:p w14:paraId="474C9E2A" w14:textId="5A0901A1" w:rsidR="00B83209" w:rsidRPr="00B83209" w:rsidRDefault="00B83209" w:rsidP="003B754F">
      <w:pPr>
        <w:spacing w:line="276" w:lineRule="auto"/>
        <w:ind w:left="-284" w:right="-142"/>
        <w:jc w:val="both"/>
      </w:pPr>
      <w:r>
        <w:t xml:space="preserve">         </w:t>
      </w:r>
      <w:r w:rsidR="003B754F">
        <w:t xml:space="preserve">     </w:t>
      </w:r>
      <w:r>
        <w:t xml:space="preserve"> Capitolul III - </w:t>
      </w:r>
      <w:r w:rsidRPr="00B83209">
        <w:t xml:space="preserve">Documentaţiile tehnico-economice aferente obiectivelor de investiţii finanţate </w:t>
      </w:r>
      <w:r>
        <w:t xml:space="preserve">                                                </w:t>
      </w:r>
      <w:r w:rsidR="003B754F">
        <w:t xml:space="preserve">    </w:t>
      </w:r>
      <w:r w:rsidRPr="00B83209">
        <w:t>din fonduri publice</w:t>
      </w:r>
      <w:r w:rsidR="003A7003">
        <w:t>;</w:t>
      </w:r>
    </w:p>
    <w:p w14:paraId="3F498BB9" w14:textId="03820B02" w:rsidR="00183F3C" w:rsidRPr="00DB46BE" w:rsidRDefault="007C1415" w:rsidP="0050019F">
      <w:pPr>
        <w:spacing w:line="276" w:lineRule="auto"/>
        <w:ind w:left="-284" w:right="-143"/>
        <w:jc w:val="both"/>
        <w:rPr>
          <w:b/>
        </w:rPr>
      </w:pPr>
      <w:r w:rsidRPr="003D59DE">
        <w:rPr>
          <w:b/>
        </w:rPr>
        <w:t>6</w:t>
      </w:r>
      <w:r w:rsidR="00911A67" w:rsidRPr="003D59DE">
        <w:rPr>
          <w:b/>
        </w:rPr>
        <w:t xml:space="preserve">. </w:t>
      </w:r>
      <w:r w:rsidR="00B83209" w:rsidRPr="003D59DE">
        <w:rPr>
          <w:b/>
        </w:rPr>
        <w:t xml:space="preserve">ORDONANȚĂ DE URGENȚĂ nr. 95 din 3 septembrie 2021 pentru aprobarea </w:t>
      </w:r>
      <w:r w:rsidR="00917FF8" w:rsidRPr="003D59DE">
        <w:rPr>
          <w:b/>
        </w:rPr>
        <w:t>pro</w:t>
      </w:r>
      <w:r w:rsidR="00B83209" w:rsidRPr="003D59DE">
        <w:rPr>
          <w:b/>
        </w:rPr>
        <w:t>gramului național de investiții "Anghel Saligny"</w:t>
      </w:r>
      <w:r w:rsidR="00183F3C" w:rsidRPr="003D59DE">
        <w:rPr>
          <w:b/>
        </w:rPr>
        <w:t xml:space="preserve"> cu </w:t>
      </w:r>
      <w:r w:rsidR="00183F3C" w:rsidRPr="00DB46BE">
        <w:rPr>
          <w:b/>
        </w:rPr>
        <w:t>modificările și completările ulterioare.</w:t>
      </w:r>
    </w:p>
    <w:p w14:paraId="0BDD107D" w14:textId="2E534D17" w:rsidR="00AF4198" w:rsidRPr="001D1647" w:rsidRDefault="000F1949" w:rsidP="0050019F">
      <w:pPr>
        <w:spacing w:line="276" w:lineRule="auto"/>
        <w:ind w:left="-284" w:right="-143" w:firstLine="824"/>
        <w:jc w:val="both"/>
        <w:rPr>
          <w:color w:val="000000"/>
          <w:shd w:val="clear" w:color="auto" w:fill="FFFFFF"/>
        </w:rPr>
      </w:pPr>
      <w:r w:rsidRPr="001D1647">
        <w:rPr>
          <w:color w:val="000000"/>
          <w:shd w:val="clear" w:color="auto" w:fill="FFFFFF"/>
        </w:rPr>
        <w:t>Obiectivele de investiții care se realizează în cadrul programului</w:t>
      </w:r>
      <w:r w:rsidR="003A7003">
        <w:rPr>
          <w:color w:val="000000"/>
          <w:shd w:val="clear" w:color="auto" w:fill="FFFFFF"/>
        </w:rPr>
        <w:t>;</w:t>
      </w:r>
    </w:p>
    <w:p w14:paraId="3EEA6046" w14:textId="6F6F58D6" w:rsidR="0098294D" w:rsidRPr="003D59DE" w:rsidRDefault="007C1415" w:rsidP="0050019F">
      <w:pPr>
        <w:spacing w:line="276" w:lineRule="auto"/>
        <w:ind w:left="-284" w:right="-143"/>
        <w:jc w:val="both"/>
        <w:rPr>
          <w:b/>
          <w:lang w:val="en-US"/>
        </w:rPr>
      </w:pPr>
      <w:r w:rsidRPr="003D59DE">
        <w:rPr>
          <w:b/>
        </w:rPr>
        <w:t>7</w:t>
      </w:r>
      <w:r w:rsidR="00AF4198" w:rsidRPr="003D59DE">
        <w:rPr>
          <w:b/>
        </w:rPr>
        <w:t xml:space="preserve">. </w:t>
      </w:r>
      <w:bookmarkStart w:id="1" w:name="_Hlk148260071"/>
      <w:r w:rsidR="0098294D" w:rsidRPr="003D59DE">
        <w:rPr>
          <w:b/>
          <w:lang w:val="en-US"/>
        </w:rPr>
        <w:t>OUG nr. 49/2023 privind aprobarea Programului național de investiții pentru consolidarea spitalelor "Mihail Cantacuzino" și a Programului național de expertizare a clădirilor publice cu risc seismic din sisteme</w:t>
      </w:r>
      <w:r w:rsidR="00EB328E">
        <w:rPr>
          <w:b/>
          <w:lang w:val="en-US"/>
        </w:rPr>
        <w:t>le de sănătate și de învățământ.</w:t>
      </w:r>
    </w:p>
    <w:p w14:paraId="6A3C623D" w14:textId="2EC07C9D" w:rsidR="0098294D" w:rsidRDefault="00D518A9" w:rsidP="0050019F">
      <w:pPr>
        <w:spacing w:line="276" w:lineRule="auto"/>
        <w:ind w:left="-284" w:right="-143"/>
        <w:jc w:val="both"/>
        <w:rPr>
          <w:bCs/>
          <w:lang w:val="en-US"/>
        </w:rPr>
      </w:pPr>
      <w:bookmarkStart w:id="2" w:name="_Hlk148260046"/>
      <w:r w:rsidRPr="003D59DE">
        <w:rPr>
          <w:bCs/>
          <w:lang w:val="en-US"/>
        </w:rPr>
        <w:lastRenderedPageBreak/>
        <w:t xml:space="preserve">          </w:t>
      </w:r>
      <w:r w:rsidR="006D4361">
        <w:rPr>
          <w:bCs/>
          <w:lang w:val="en-US"/>
        </w:rPr>
        <w:tab/>
      </w:r>
      <w:r w:rsidR="0098294D" w:rsidRPr="003D59DE">
        <w:rPr>
          <w:bCs/>
          <w:lang w:val="en-US"/>
        </w:rPr>
        <w:t>Capitolul II Programul național privind expertizarea clădirilor publice cu risc seismic din sistemele de sănătate și de învățământ</w:t>
      </w:r>
      <w:r w:rsidR="003A7003">
        <w:rPr>
          <w:bCs/>
          <w:lang w:val="en-US"/>
        </w:rPr>
        <w:t>;</w:t>
      </w:r>
    </w:p>
    <w:p w14:paraId="320114AF" w14:textId="4E8E36D8" w:rsidR="0098294D" w:rsidRDefault="00D518A9" w:rsidP="0050019F">
      <w:pPr>
        <w:spacing w:line="276" w:lineRule="auto"/>
        <w:ind w:left="-284" w:right="-143"/>
        <w:jc w:val="both"/>
        <w:rPr>
          <w:bCs/>
          <w:lang w:val="en-US"/>
        </w:rPr>
      </w:pPr>
      <w:r>
        <w:rPr>
          <w:bCs/>
          <w:color w:val="FF0000"/>
          <w:lang w:val="en-US"/>
        </w:rPr>
        <w:t xml:space="preserve">          </w:t>
      </w:r>
      <w:r w:rsidR="0050019F">
        <w:rPr>
          <w:bCs/>
          <w:color w:val="FF0000"/>
          <w:lang w:val="en-US"/>
        </w:rPr>
        <w:t xml:space="preserve">     </w:t>
      </w:r>
      <w:r>
        <w:rPr>
          <w:bCs/>
          <w:color w:val="FF0000"/>
          <w:lang w:val="en-US"/>
        </w:rPr>
        <w:t xml:space="preserve"> </w:t>
      </w:r>
      <w:r w:rsidR="0098294D" w:rsidRPr="004F3226">
        <w:rPr>
          <w:bCs/>
          <w:lang w:val="en-US"/>
        </w:rPr>
        <w:t>Capitolul III</w:t>
      </w:r>
      <w:r w:rsidR="0098294D" w:rsidRPr="004F3226">
        <w:rPr>
          <w:b/>
          <w:lang w:val="en-US"/>
        </w:rPr>
        <w:t xml:space="preserve"> </w:t>
      </w:r>
      <w:r w:rsidR="0098294D" w:rsidRPr="004F3226">
        <w:rPr>
          <w:bCs/>
          <w:lang w:val="en-US"/>
        </w:rPr>
        <w:t>Implementarea programelor prevăzute la capitolele I și II</w:t>
      </w:r>
      <w:r w:rsidR="003A7003">
        <w:rPr>
          <w:bCs/>
          <w:lang w:val="en-US"/>
        </w:rPr>
        <w:t>;</w:t>
      </w:r>
    </w:p>
    <w:p w14:paraId="3C76D3EA" w14:textId="77777777" w:rsidR="0050019F" w:rsidRDefault="0050019F" w:rsidP="0050019F">
      <w:pPr>
        <w:spacing w:line="276" w:lineRule="auto"/>
        <w:ind w:left="-284" w:right="-143"/>
        <w:jc w:val="both"/>
        <w:rPr>
          <w:bCs/>
          <w:lang w:val="en-US"/>
        </w:rPr>
      </w:pPr>
    </w:p>
    <w:p w14:paraId="242A158F" w14:textId="77777777" w:rsidR="0050019F" w:rsidRDefault="0050019F" w:rsidP="0050019F">
      <w:pPr>
        <w:spacing w:line="276" w:lineRule="auto"/>
        <w:ind w:left="-284" w:right="-143"/>
        <w:jc w:val="both"/>
        <w:rPr>
          <w:bCs/>
          <w:lang w:val="en-US"/>
        </w:rPr>
      </w:pPr>
    </w:p>
    <w:p w14:paraId="7D89DCCC" w14:textId="77777777" w:rsidR="0050019F" w:rsidRDefault="0050019F" w:rsidP="0050019F">
      <w:pPr>
        <w:spacing w:line="276" w:lineRule="auto"/>
        <w:ind w:left="-284" w:right="-143"/>
        <w:jc w:val="both"/>
        <w:rPr>
          <w:bCs/>
          <w:lang w:val="en-US"/>
        </w:rPr>
      </w:pPr>
    </w:p>
    <w:p w14:paraId="2CE873C0" w14:textId="77777777" w:rsidR="0050019F" w:rsidRDefault="0050019F" w:rsidP="0050019F">
      <w:pPr>
        <w:spacing w:line="276" w:lineRule="auto"/>
        <w:ind w:left="-284" w:right="-143"/>
        <w:jc w:val="both"/>
        <w:rPr>
          <w:bCs/>
          <w:lang w:val="en-US"/>
        </w:rPr>
      </w:pPr>
    </w:p>
    <w:p w14:paraId="6CAD471E" w14:textId="77777777" w:rsidR="0050019F" w:rsidRDefault="0050019F" w:rsidP="0050019F">
      <w:pPr>
        <w:spacing w:line="276" w:lineRule="auto"/>
        <w:ind w:left="-284" w:right="-143"/>
        <w:jc w:val="both"/>
        <w:rPr>
          <w:bCs/>
          <w:lang w:val="en-US"/>
        </w:rPr>
      </w:pPr>
    </w:p>
    <w:bookmarkEnd w:id="1"/>
    <w:bookmarkEnd w:id="2"/>
    <w:p w14:paraId="1797BF83" w14:textId="02FF4197" w:rsidR="009A788E" w:rsidRPr="00DB46BE" w:rsidRDefault="007C1415" w:rsidP="0050019F">
      <w:pPr>
        <w:spacing w:line="276" w:lineRule="auto"/>
        <w:ind w:left="-284" w:right="-143"/>
        <w:jc w:val="both"/>
        <w:rPr>
          <w:b/>
        </w:rPr>
      </w:pPr>
      <w:r w:rsidRPr="003D59DE">
        <w:rPr>
          <w:b/>
        </w:rPr>
        <w:t>8</w:t>
      </w:r>
      <w:r w:rsidR="000D1C4F" w:rsidRPr="003D59DE">
        <w:rPr>
          <w:b/>
        </w:rPr>
        <w:t xml:space="preserve">. </w:t>
      </w:r>
      <w:r w:rsidR="000D1C4F" w:rsidRPr="001D1647">
        <w:rPr>
          <w:b/>
          <w:bCs/>
        </w:rPr>
        <w:t xml:space="preserve">Ordonanța de </w:t>
      </w:r>
      <w:r w:rsidR="006D4361">
        <w:rPr>
          <w:b/>
          <w:bCs/>
        </w:rPr>
        <w:t>U</w:t>
      </w:r>
      <w:r w:rsidR="000D1C4F" w:rsidRPr="001D1647">
        <w:rPr>
          <w:b/>
          <w:bCs/>
        </w:rPr>
        <w:t>rgență a Guvernului nr. 18/2009</w:t>
      </w:r>
      <w:r w:rsidR="003D59DE" w:rsidRPr="003D59DE">
        <w:rPr>
          <w:b/>
          <w:bCs/>
          <w:shd w:val="clear" w:color="auto" w:fill="FFFFFF"/>
        </w:rPr>
        <w:t xml:space="preserve"> privind creșterea performanței energetice a blocurilor de locuințe</w:t>
      </w:r>
      <w:r w:rsidR="009A788E" w:rsidRPr="00DB46BE">
        <w:rPr>
          <w:b/>
        </w:rPr>
        <w:t>, cu modificările și completările ulterioare.</w:t>
      </w:r>
    </w:p>
    <w:p w14:paraId="49461332" w14:textId="3505D5A6" w:rsidR="003D59DE" w:rsidRPr="003A7003" w:rsidRDefault="003D59DE" w:rsidP="0050019F">
      <w:pPr>
        <w:spacing w:line="276" w:lineRule="auto"/>
        <w:ind w:left="720" w:right="-144"/>
        <w:jc w:val="both"/>
        <w:rPr>
          <w:rStyle w:val="scapden"/>
          <w:bCs/>
          <w:bdr w:val="none" w:sz="0" w:space="0" w:color="auto" w:frame="1"/>
          <w:shd w:val="clear" w:color="auto" w:fill="FFFFFF"/>
          <w:lang w:val="en-US"/>
        </w:rPr>
      </w:pPr>
      <w:r w:rsidRPr="001D1647">
        <w:rPr>
          <w:rStyle w:val="scapttl"/>
          <w:bCs/>
          <w:bdr w:val="none" w:sz="0" w:space="0" w:color="auto" w:frame="1"/>
          <w:shd w:val="clear" w:color="auto" w:fill="FFFFFF"/>
        </w:rPr>
        <w:t>Capitolul II</w:t>
      </w:r>
      <w:r w:rsidRPr="001D1647">
        <w:rPr>
          <w:rStyle w:val="scapden"/>
          <w:bCs/>
          <w:bdr w:val="none" w:sz="0" w:space="0" w:color="auto" w:frame="1"/>
          <w:shd w:val="clear" w:color="auto" w:fill="FFFFFF"/>
        </w:rPr>
        <w:t> Lucrări de intervenție</w:t>
      </w:r>
      <w:r w:rsidR="003A7003">
        <w:rPr>
          <w:rStyle w:val="scapden"/>
          <w:bCs/>
          <w:bdr w:val="none" w:sz="0" w:space="0" w:color="auto" w:frame="1"/>
          <w:shd w:val="clear" w:color="auto" w:fill="FFFFFF"/>
          <w:lang w:val="en-US"/>
        </w:rPr>
        <w:t>;</w:t>
      </w:r>
    </w:p>
    <w:p w14:paraId="02A223CF" w14:textId="3BE216B9" w:rsidR="003D59DE" w:rsidRPr="001D1647" w:rsidRDefault="003D59DE" w:rsidP="0050019F">
      <w:pPr>
        <w:spacing w:line="276" w:lineRule="auto"/>
        <w:ind w:left="720" w:right="-144"/>
        <w:jc w:val="both"/>
        <w:rPr>
          <w:rStyle w:val="scapden"/>
          <w:bCs/>
          <w:bdr w:val="none" w:sz="0" w:space="0" w:color="auto" w:frame="1"/>
          <w:shd w:val="clear" w:color="auto" w:fill="FFFFFF"/>
        </w:rPr>
      </w:pPr>
      <w:r w:rsidRPr="001D1647">
        <w:rPr>
          <w:rStyle w:val="scapttl"/>
          <w:bCs/>
          <w:bdr w:val="none" w:sz="0" w:space="0" w:color="auto" w:frame="1"/>
          <w:shd w:val="clear" w:color="auto" w:fill="FFFFFF"/>
        </w:rPr>
        <w:t>Capitolul III</w:t>
      </w:r>
      <w:r w:rsidRPr="001D1647">
        <w:rPr>
          <w:rStyle w:val="scapden"/>
          <w:bCs/>
          <w:bdr w:val="none" w:sz="0" w:space="0" w:color="auto" w:frame="1"/>
          <w:shd w:val="clear" w:color="auto" w:fill="FFFFFF"/>
        </w:rPr>
        <w:t> Etapele necesare implementării programelor locale</w:t>
      </w:r>
      <w:r w:rsidR="003A7003">
        <w:rPr>
          <w:rStyle w:val="scapden"/>
          <w:bCs/>
          <w:bdr w:val="none" w:sz="0" w:space="0" w:color="auto" w:frame="1"/>
          <w:shd w:val="clear" w:color="auto" w:fill="FFFFFF"/>
        </w:rPr>
        <w:t>;</w:t>
      </w:r>
    </w:p>
    <w:p w14:paraId="5950AE1F" w14:textId="6B8E93BE" w:rsidR="006D4361" w:rsidRDefault="003D59DE" w:rsidP="0050019F">
      <w:pPr>
        <w:spacing w:line="276" w:lineRule="auto"/>
        <w:ind w:left="720" w:right="-144"/>
        <w:jc w:val="both"/>
        <w:rPr>
          <w:rStyle w:val="scapden"/>
          <w:bCs/>
          <w:bdr w:val="none" w:sz="0" w:space="0" w:color="auto" w:frame="1"/>
          <w:shd w:val="clear" w:color="auto" w:fill="FFFFFF"/>
        </w:rPr>
      </w:pPr>
      <w:r w:rsidRPr="001D1647">
        <w:rPr>
          <w:rStyle w:val="scapttl"/>
          <w:bCs/>
          <w:bdr w:val="none" w:sz="0" w:space="0" w:color="auto" w:frame="1"/>
          <w:shd w:val="clear" w:color="auto" w:fill="FFFFFF"/>
        </w:rPr>
        <w:t>Capitolul IV</w:t>
      </w:r>
      <w:r w:rsidRPr="001D1647">
        <w:rPr>
          <w:rStyle w:val="scapden"/>
          <w:bCs/>
          <w:bdr w:val="none" w:sz="0" w:space="0" w:color="auto" w:frame="1"/>
          <w:shd w:val="clear" w:color="auto" w:fill="FFFFFF"/>
        </w:rPr>
        <w:t> Finanțarea</w:t>
      </w:r>
      <w:r w:rsidR="003A7003">
        <w:rPr>
          <w:rStyle w:val="scapden"/>
          <w:bCs/>
          <w:bdr w:val="none" w:sz="0" w:space="0" w:color="auto" w:frame="1"/>
          <w:shd w:val="clear" w:color="auto" w:fill="FFFFFF"/>
        </w:rPr>
        <w:t>;</w:t>
      </w:r>
    </w:p>
    <w:p w14:paraId="2D3F6624" w14:textId="18CABEC9" w:rsidR="004F3226" w:rsidRPr="00EB328E" w:rsidRDefault="004F3226" w:rsidP="0050019F">
      <w:pPr>
        <w:spacing w:after="120" w:line="276" w:lineRule="auto"/>
        <w:ind w:left="-288" w:right="-144"/>
        <w:jc w:val="both"/>
        <w:rPr>
          <w:rStyle w:val="shdr"/>
          <w:b/>
          <w:bCs/>
          <w:bdr w:val="none" w:sz="0" w:space="0" w:color="auto" w:frame="1"/>
          <w:shd w:val="clear" w:color="auto" w:fill="FFFFFF"/>
        </w:rPr>
      </w:pPr>
      <w:r>
        <w:rPr>
          <w:rStyle w:val="sden"/>
          <w:b/>
          <w:bCs/>
          <w:bdr w:val="none" w:sz="0" w:space="0" w:color="auto" w:frame="1"/>
          <w:shd w:val="clear" w:color="auto" w:fill="FFFFFF"/>
        </w:rPr>
        <w:t xml:space="preserve">9. </w:t>
      </w:r>
      <w:r w:rsidRPr="00FC478E">
        <w:rPr>
          <w:rStyle w:val="sden"/>
          <w:b/>
          <w:bCs/>
          <w:bdr w:val="none" w:sz="0" w:space="0" w:color="auto" w:frame="1"/>
          <w:shd w:val="clear" w:color="auto" w:fill="FFFFFF"/>
        </w:rPr>
        <w:t>NORME METODOLOGICE din 5 aprilie 2023</w:t>
      </w:r>
      <w:r>
        <w:rPr>
          <w:rStyle w:val="sden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FC478E">
        <w:rPr>
          <w:rStyle w:val="shdr"/>
          <w:bCs/>
          <w:bdr w:val="none" w:sz="0" w:space="0" w:color="auto" w:frame="1"/>
          <w:shd w:val="clear" w:color="auto" w:fill="FFFFFF"/>
        </w:rPr>
        <w:t>de aplicare a </w:t>
      </w:r>
      <w:hyperlink r:id="rId9" w:history="1">
        <w:r w:rsidRPr="00F217A3">
          <w:rPr>
            <w:rStyle w:val="Hyperlink"/>
            <w:bCs/>
            <w:bdr w:val="none" w:sz="0" w:space="0" w:color="auto" w:frame="1"/>
            <w:shd w:val="clear" w:color="auto" w:fill="FFFFFF"/>
          </w:rPr>
          <w:t>Ordonanței de urgență a Guvernului nr. 18/2009</w:t>
        </w:r>
      </w:hyperlink>
      <w:r w:rsidRPr="00FC478E">
        <w:rPr>
          <w:rStyle w:val="shdr"/>
          <w:bCs/>
          <w:bdr w:val="none" w:sz="0" w:space="0" w:color="auto" w:frame="1"/>
          <w:shd w:val="clear" w:color="auto" w:fill="FFFFFF"/>
        </w:rPr>
        <w:t> privind creșterea performanței energetice a blocurilor de locuințe</w:t>
      </w:r>
      <w:r>
        <w:rPr>
          <w:rStyle w:val="shdr"/>
          <w:bCs/>
          <w:bdr w:val="none" w:sz="0" w:space="0" w:color="auto" w:frame="1"/>
          <w:shd w:val="clear" w:color="auto" w:fill="FFFFFF"/>
        </w:rPr>
        <w:t>.</w:t>
      </w:r>
      <w:r w:rsidR="003A7003">
        <w:rPr>
          <w:rStyle w:val="shdr"/>
          <w:bCs/>
          <w:bdr w:val="none" w:sz="0" w:space="0" w:color="auto" w:frame="1"/>
          <w:shd w:val="clear" w:color="auto" w:fill="FFFFFF"/>
        </w:rPr>
        <w:t xml:space="preserve">- </w:t>
      </w:r>
      <w:r w:rsidR="003A7003" w:rsidRPr="00EB328E">
        <w:rPr>
          <w:rStyle w:val="shdr"/>
          <w:b/>
          <w:bCs/>
          <w:bdr w:val="none" w:sz="0" w:space="0" w:color="auto" w:frame="1"/>
          <w:shd w:val="clear" w:color="auto" w:fill="FFFFFF"/>
        </w:rPr>
        <w:t>Integral;</w:t>
      </w:r>
    </w:p>
    <w:p w14:paraId="1CE6395F" w14:textId="312B94AE" w:rsidR="000D1C4F" w:rsidRPr="00EE79B7" w:rsidRDefault="004F3226" w:rsidP="0050019F">
      <w:pPr>
        <w:spacing w:line="276" w:lineRule="auto"/>
        <w:ind w:left="-288" w:right="-144"/>
        <w:jc w:val="both"/>
      </w:pPr>
      <w:r>
        <w:rPr>
          <w:b/>
        </w:rPr>
        <w:t>10</w:t>
      </w:r>
      <w:r w:rsidR="003B754F">
        <w:rPr>
          <w:b/>
        </w:rPr>
        <w:t>. ORDINUL</w:t>
      </w:r>
      <w:r w:rsidR="000D1C4F" w:rsidRPr="00EE79B7">
        <w:rPr>
          <w:b/>
        </w:rPr>
        <w:t xml:space="preserve"> nr. 2.192</w:t>
      </w:r>
      <w:r w:rsidR="003B754F">
        <w:rPr>
          <w:b/>
        </w:rPr>
        <w:t xml:space="preserve"> </w:t>
      </w:r>
      <w:r w:rsidR="000D1C4F" w:rsidRPr="00EE79B7">
        <w:rPr>
          <w:b/>
        </w:rPr>
        <w:t>din 24 august 2023 pentru aprobarea Ghidului de finanţare a Programului privind îmbunătăţirea calităţii aerului şi reducerea cantităţii de emisii de gaze cu efect de seră, prin utilizarea pentru transportul elevilor a autovehiculelor mai puţin poluante de tipul microbuzelor electrice, hibride şi alimentate cu gaz natural comprimat</w:t>
      </w:r>
      <w:r w:rsidR="00EB328E">
        <w:rPr>
          <w:b/>
        </w:rPr>
        <w:t>.</w:t>
      </w:r>
      <w:r w:rsidR="000D1C4F" w:rsidRPr="00EE79B7">
        <w:rPr>
          <w:b/>
        </w:rPr>
        <w:cr/>
      </w:r>
      <w:r w:rsidR="00D518A9" w:rsidRPr="00D518A9">
        <w:rPr>
          <w:b/>
          <w:color w:val="FF0000"/>
        </w:rPr>
        <w:t xml:space="preserve">             </w:t>
      </w:r>
      <w:r w:rsidR="00EE79B7">
        <w:rPr>
          <w:b/>
          <w:color w:val="FF0000"/>
        </w:rPr>
        <w:t xml:space="preserve">  </w:t>
      </w:r>
      <w:r w:rsidR="00D518A9" w:rsidRPr="00D518A9">
        <w:rPr>
          <w:b/>
          <w:color w:val="FF0000"/>
        </w:rPr>
        <w:t xml:space="preserve"> </w:t>
      </w:r>
      <w:r w:rsidR="0050019F">
        <w:rPr>
          <w:b/>
          <w:color w:val="FF0000"/>
        </w:rPr>
        <w:t xml:space="preserve"> </w:t>
      </w:r>
      <w:r w:rsidR="00D518A9" w:rsidRPr="00EE79B7">
        <w:t>Capitolul II - Cuantumul finanţării, eligibilitatea solicitantului şi a proiectului, depunerea dosarului de finanţare</w:t>
      </w:r>
      <w:r w:rsidR="003A7003">
        <w:t>;</w:t>
      </w:r>
    </w:p>
    <w:p w14:paraId="63AE0CA3" w14:textId="7FB52F82" w:rsidR="00D518A9" w:rsidRPr="000958FA" w:rsidRDefault="00D518A9" w:rsidP="0050019F">
      <w:pPr>
        <w:spacing w:line="276" w:lineRule="auto"/>
        <w:ind w:left="-288" w:right="-144"/>
        <w:jc w:val="both"/>
      </w:pPr>
      <w:r w:rsidRPr="00D518A9">
        <w:rPr>
          <w:b/>
          <w:color w:val="FF0000"/>
        </w:rPr>
        <w:tab/>
        <w:t xml:space="preserve">         </w:t>
      </w:r>
      <w:r w:rsidR="00EE79B7">
        <w:rPr>
          <w:b/>
          <w:color w:val="FF0000"/>
        </w:rPr>
        <w:t xml:space="preserve">  </w:t>
      </w:r>
      <w:r w:rsidRPr="00D518A9">
        <w:rPr>
          <w:b/>
          <w:color w:val="FF0000"/>
        </w:rPr>
        <w:t xml:space="preserve"> </w:t>
      </w:r>
      <w:r w:rsidRPr="000958FA">
        <w:t>Capitolul III Analiza dosarului de finanţare şi aprobarea finanţării proiectului</w:t>
      </w:r>
      <w:r w:rsidR="003A7003">
        <w:t>;</w:t>
      </w:r>
    </w:p>
    <w:p w14:paraId="5CD9AFFA" w14:textId="64EC77E0" w:rsidR="00D518A9" w:rsidRPr="000958FA" w:rsidRDefault="00D518A9" w:rsidP="0050019F">
      <w:pPr>
        <w:spacing w:line="276" w:lineRule="auto"/>
        <w:ind w:left="-288" w:right="-144"/>
        <w:jc w:val="both"/>
      </w:pPr>
      <w:r w:rsidRPr="000958FA">
        <w:rPr>
          <w:color w:val="FF0000"/>
        </w:rPr>
        <w:tab/>
      </w:r>
      <w:r w:rsidRPr="000958FA">
        <w:rPr>
          <w:color w:val="FF0000"/>
        </w:rPr>
        <w:tab/>
      </w:r>
      <w:r w:rsidRPr="000958FA">
        <w:t>Capitolul IV Implementarea proiectului, mecanismul de decontare şi acordarea avansului</w:t>
      </w:r>
      <w:r w:rsidR="003A7003">
        <w:t>;</w:t>
      </w:r>
    </w:p>
    <w:p w14:paraId="467E64B3" w14:textId="59642E67" w:rsidR="00FF1420" w:rsidRPr="000958FA" w:rsidRDefault="000D1C4F" w:rsidP="0050019F">
      <w:pPr>
        <w:spacing w:line="276" w:lineRule="auto"/>
        <w:ind w:left="-284" w:right="-143"/>
        <w:jc w:val="both"/>
        <w:rPr>
          <w:b/>
        </w:rPr>
      </w:pPr>
      <w:r w:rsidRPr="000958FA">
        <w:rPr>
          <w:b/>
        </w:rPr>
        <w:t>1</w:t>
      </w:r>
      <w:r w:rsidR="004F3226">
        <w:rPr>
          <w:b/>
        </w:rPr>
        <w:t>1</w:t>
      </w:r>
      <w:r w:rsidRPr="000958FA">
        <w:rPr>
          <w:b/>
        </w:rPr>
        <w:t xml:space="preserve">. </w:t>
      </w:r>
      <w:r w:rsidR="00FF1420" w:rsidRPr="000958FA">
        <w:rPr>
          <w:b/>
        </w:rPr>
        <w:t>Legea 273/2006 privind finanțele publice</w:t>
      </w:r>
      <w:r w:rsidR="00437878" w:rsidRPr="000958FA">
        <w:rPr>
          <w:b/>
        </w:rPr>
        <w:t>, cu modificările și completările ulterioare.</w:t>
      </w:r>
    </w:p>
    <w:p w14:paraId="205E3FC3" w14:textId="11977D2B" w:rsidR="00FF1420" w:rsidRPr="005C4DA8" w:rsidRDefault="00F6313E" w:rsidP="0050019F">
      <w:pPr>
        <w:spacing w:line="276" w:lineRule="auto"/>
        <w:ind w:right="-143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0958FA">
        <w:t xml:space="preserve">         </w:t>
      </w:r>
      <w:r w:rsidR="003B754F">
        <w:t xml:space="preserve">   </w:t>
      </w:r>
      <w:r w:rsidR="00EE79B7" w:rsidRPr="000958FA">
        <w:rPr>
          <w:rStyle w:val="ssecttl"/>
          <w:bCs/>
          <w:color w:val="000000"/>
          <w:bdr w:val="none" w:sz="0" w:space="0" w:color="auto" w:frame="1"/>
          <w:shd w:val="clear" w:color="auto" w:fill="FFFFFF"/>
        </w:rPr>
        <w:t>Secţiunea a 3-a</w:t>
      </w:r>
      <w:r w:rsidR="00EE79B7" w:rsidRPr="000958FA">
        <w:rPr>
          <w:rStyle w:val="ssecden"/>
          <w:bCs/>
          <w:color w:val="000000"/>
          <w:bdr w:val="none" w:sz="0" w:space="0" w:color="auto" w:frame="1"/>
          <w:shd w:val="clear" w:color="auto" w:fill="FFFFFF"/>
        </w:rPr>
        <w:t> Prevederi referitoare la investiții publice locale</w:t>
      </w:r>
      <w:r w:rsidR="003A7003">
        <w:rPr>
          <w:b/>
        </w:rPr>
        <w:t>;</w:t>
      </w:r>
      <w:r w:rsidRPr="00DB46BE">
        <w:rPr>
          <w:b/>
        </w:rPr>
        <w:t xml:space="preserve">     </w:t>
      </w:r>
    </w:p>
    <w:p w14:paraId="6E54B522" w14:textId="1DEB62FF" w:rsidR="00F6313E" w:rsidRPr="00DB46BE" w:rsidRDefault="007C1415" w:rsidP="0050019F">
      <w:pPr>
        <w:spacing w:line="276" w:lineRule="auto"/>
        <w:ind w:left="-284" w:right="-143"/>
        <w:jc w:val="both"/>
        <w:rPr>
          <w:b/>
        </w:rPr>
      </w:pPr>
      <w:r w:rsidRPr="007C1415">
        <w:rPr>
          <w:b/>
          <w:bCs/>
        </w:rPr>
        <w:t>1</w:t>
      </w:r>
      <w:r w:rsidR="004F3226">
        <w:rPr>
          <w:b/>
          <w:bCs/>
        </w:rPr>
        <w:t>2</w:t>
      </w:r>
      <w:r w:rsidR="00F6313E" w:rsidRPr="00DB46BE">
        <w:t xml:space="preserve">. </w:t>
      </w:r>
      <w:r w:rsidR="00F6313E" w:rsidRPr="00DB46BE">
        <w:rPr>
          <w:b/>
        </w:rPr>
        <w:t>HG nr. 925/1995 privind aprobarea Regulamentului de verificare şi expertizare tehnică de calitate a proiectelor, a execuţiei lucrărilor şi a construcţiilor</w:t>
      </w:r>
      <w:r w:rsidR="00437878" w:rsidRPr="00DB46BE">
        <w:rPr>
          <w:b/>
        </w:rPr>
        <w:t>, cu modificările și completările ulterioare.</w:t>
      </w:r>
    </w:p>
    <w:p w14:paraId="1CFBC41D" w14:textId="7A04D5E4" w:rsidR="004D2A29" w:rsidRPr="00A4524D" w:rsidRDefault="00437878" w:rsidP="0050019F">
      <w:pPr>
        <w:spacing w:line="276" w:lineRule="auto"/>
        <w:ind w:left="-288" w:right="-144"/>
        <w:jc w:val="both"/>
      </w:pPr>
      <w:r w:rsidRPr="00DB46BE">
        <w:tab/>
      </w:r>
      <w:r w:rsidRPr="00A4524D">
        <w:t xml:space="preserve">            </w:t>
      </w:r>
      <w:r w:rsidR="007C1415" w:rsidRPr="00A4524D">
        <w:t>Capitolul 2 - Verificarea tehnica de calitate a proiectelor de către specialiști verificatori de proiecte, atestați</w:t>
      </w:r>
      <w:r w:rsidR="003A7003">
        <w:t>;</w:t>
      </w:r>
    </w:p>
    <w:p w14:paraId="20D46F71" w14:textId="268E7A80" w:rsidR="007C1415" w:rsidRPr="00D518A9" w:rsidRDefault="007C1415" w:rsidP="0050019F">
      <w:pPr>
        <w:spacing w:line="276" w:lineRule="auto"/>
        <w:ind w:left="-288" w:right="-144"/>
        <w:jc w:val="both"/>
        <w:rPr>
          <w:color w:val="FF0000"/>
        </w:rPr>
      </w:pPr>
      <w:r w:rsidRPr="00D518A9">
        <w:rPr>
          <w:color w:val="FF0000"/>
        </w:rPr>
        <w:tab/>
      </w:r>
      <w:r w:rsidRPr="00D518A9">
        <w:rPr>
          <w:color w:val="FF0000"/>
        </w:rPr>
        <w:tab/>
      </w:r>
      <w:r w:rsidR="00A4524D" w:rsidRPr="00A4524D">
        <w:t xml:space="preserve">Capitolul </w:t>
      </w:r>
      <w:r w:rsidRPr="00A4524D">
        <w:t>3 - Expertizarea tehnica de calitate a proiectelor și a construcțiilor</w:t>
      </w:r>
      <w:r w:rsidR="003A7003">
        <w:t>;</w:t>
      </w:r>
    </w:p>
    <w:p w14:paraId="5D35E943" w14:textId="42FE3EEA" w:rsidR="007C1415" w:rsidRPr="00170EFA" w:rsidRDefault="007C1415" w:rsidP="0050019F">
      <w:pPr>
        <w:spacing w:line="276" w:lineRule="auto"/>
        <w:ind w:left="-288" w:right="-144"/>
        <w:jc w:val="both"/>
      </w:pPr>
      <w:r w:rsidRPr="00D518A9">
        <w:rPr>
          <w:color w:val="FF0000"/>
        </w:rPr>
        <w:tab/>
      </w:r>
      <w:r w:rsidRPr="00D518A9">
        <w:rPr>
          <w:color w:val="FF0000"/>
        </w:rPr>
        <w:tab/>
      </w:r>
      <w:r w:rsidRPr="00170EFA">
        <w:t>Capitolul 4 - Asigurarea calității execuției lucrărilor prin responsabili tehnici cu execuția atestați</w:t>
      </w:r>
      <w:r w:rsidR="003A7003">
        <w:t>;</w:t>
      </w:r>
    </w:p>
    <w:p w14:paraId="42397BF6" w14:textId="3B2B8CD5" w:rsidR="000958FA" w:rsidRDefault="000958FA" w:rsidP="0050019F">
      <w:pPr>
        <w:spacing w:after="120" w:line="276" w:lineRule="auto"/>
        <w:ind w:left="-284" w:right="-143"/>
        <w:jc w:val="both"/>
        <w:rPr>
          <w:b/>
        </w:rPr>
      </w:pPr>
      <w:r w:rsidRPr="00CE799A">
        <w:rPr>
          <w:b/>
        </w:rPr>
        <w:t>1</w:t>
      </w:r>
      <w:r w:rsidR="003A7003">
        <w:rPr>
          <w:b/>
        </w:rPr>
        <w:t>3</w:t>
      </w:r>
      <w:r w:rsidRPr="00CE799A">
        <w:rPr>
          <w:b/>
        </w:rPr>
        <w:t>. Atribuţiile Serviciului Fonduri Europene din cadrul Direcției Generale Programe de Dezvoltare Urbană și Fonduri Europene</w:t>
      </w:r>
      <w:r w:rsidRPr="00CE799A">
        <w:t xml:space="preserve"> </w:t>
      </w:r>
      <w:r w:rsidRPr="00CE799A">
        <w:rPr>
          <w:b/>
        </w:rPr>
        <w:t xml:space="preserve">conform Regulamentului de Organizare şi Funcţionarea al Primăriei Sectorului 2, disponibil pe site-ul Primăriei Sectorului 2, </w:t>
      </w:r>
      <w:hyperlink r:id="rId10" w:history="1">
        <w:r w:rsidRPr="00CE799A">
          <w:rPr>
            <w:rStyle w:val="Hyperlink"/>
            <w:b/>
          </w:rPr>
          <w:t>www.ps2.ro</w:t>
        </w:r>
      </w:hyperlink>
      <w:r w:rsidRPr="00CE799A">
        <w:rPr>
          <w:b/>
        </w:rPr>
        <w:t>.</w:t>
      </w:r>
    </w:p>
    <w:p w14:paraId="37B8EA17" w14:textId="77777777" w:rsidR="006D4361" w:rsidRPr="00CE799A" w:rsidRDefault="006D4361" w:rsidP="0050019F">
      <w:pPr>
        <w:spacing w:after="120" w:line="276" w:lineRule="auto"/>
        <w:ind w:left="-284" w:right="-143"/>
        <w:jc w:val="both"/>
        <w:rPr>
          <w:b/>
        </w:rPr>
      </w:pPr>
    </w:p>
    <w:p w14:paraId="5B6D6595" w14:textId="77777777" w:rsidR="00BD0198" w:rsidRDefault="00BD0198" w:rsidP="00BD0198">
      <w:pPr>
        <w:pStyle w:val="Listparagraf"/>
        <w:autoSpaceDE w:val="0"/>
        <w:autoSpaceDN w:val="0"/>
        <w:adjustRightInd w:val="0"/>
        <w:spacing w:after="0" w:line="264" w:lineRule="auto"/>
        <w:ind w:left="644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F0EA6B3" w14:textId="259A34CF" w:rsidR="00E07CAB" w:rsidRPr="005C4DA8" w:rsidRDefault="00BD0198" w:rsidP="00994A0A">
      <w:pPr>
        <w:rPr>
          <w:b/>
          <w:i/>
        </w:rPr>
      </w:pPr>
      <w:r>
        <w:rPr>
          <w:b/>
          <w:sz w:val="26"/>
          <w:szCs w:val="26"/>
        </w:rPr>
        <w:tab/>
      </w:r>
    </w:p>
    <w:sectPr w:rsidR="00E07CAB" w:rsidRPr="005C4DA8" w:rsidSect="007632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13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49F55" w14:textId="77777777" w:rsidR="005408F9" w:rsidRDefault="005408F9" w:rsidP="00437878">
      <w:r>
        <w:separator/>
      </w:r>
    </w:p>
  </w:endnote>
  <w:endnote w:type="continuationSeparator" w:id="0">
    <w:p w14:paraId="7C891BDB" w14:textId="77777777" w:rsidR="005408F9" w:rsidRDefault="005408F9" w:rsidP="0043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DBFE0" w14:textId="77777777" w:rsidR="00E50865" w:rsidRDefault="00E5086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ECBEB" w14:textId="77777777" w:rsidR="00E50865" w:rsidRDefault="00E5086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D9130" w14:textId="77777777" w:rsidR="00E50865" w:rsidRDefault="00E5086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4701C" w14:textId="77777777" w:rsidR="005408F9" w:rsidRDefault="005408F9" w:rsidP="00437878">
      <w:r>
        <w:separator/>
      </w:r>
    </w:p>
  </w:footnote>
  <w:footnote w:type="continuationSeparator" w:id="0">
    <w:p w14:paraId="75CCD104" w14:textId="77777777" w:rsidR="005408F9" w:rsidRDefault="005408F9" w:rsidP="00437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6D5BC" w14:textId="77777777" w:rsidR="00E50865" w:rsidRDefault="00E5086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08D17" w14:textId="77777777" w:rsidR="00E50865" w:rsidRDefault="00E5086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33F2E" w14:textId="77777777" w:rsidR="00E50865" w:rsidRDefault="00E5086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4E8D"/>
    <w:multiLevelType w:val="hybridMultilevel"/>
    <w:tmpl w:val="81E819B2"/>
    <w:lvl w:ilvl="0" w:tplc="41860A9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52D23E7"/>
    <w:multiLevelType w:val="hybridMultilevel"/>
    <w:tmpl w:val="947A6FDA"/>
    <w:lvl w:ilvl="0" w:tplc="C286057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05C2E"/>
    <w:multiLevelType w:val="hybridMultilevel"/>
    <w:tmpl w:val="F71C8B5C"/>
    <w:lvl w:ilvl="0" w:tplc="A86243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C711914"/>
    <w:multiLevelType w:val="hybridMultilevel"/>
    <w:tmpl w:val="8EE0BC3C"/>
    <w:lvl w:ilvl="0" w:tplc="B6FEC3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9436065"/>
    <w:multiLevelType w:val="hybridMultilevel"/>
    <w:tmpl w:val="76202012"/>
    <w:lvl w:ilvl="0" w:tplc="9606D4E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AF4218"/>
    <w:multiLevelType w:val="hybridMultilevel"/>
    <w:tmpl w:val="D22EB578"/>
    <w:lvl w:ilvl="0" w:tplc="69C05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8C"/>
    <w:rsid w:val="00046361"/>
    <w:rsid w:val="000723D8"/>
    <w:rsid w:val="00076B5C"/>
    <w:rsid w:val="000958FA"/>
    <w:rsid w:val="000B420A"/>
    <w:rsid w:val="000D1C4F"/>
    <w:rsid w:val="000E2B54"/>
    <w:rsid w:val="000F1949"/>
    <w:rsid w:val="00143F87"/>
    <w:rsid w:val="0014606B"/>
    <w:rsid w:val="00170EFA"/>
    <w:rsid w:val="001828F5"/>
    <w:rsid w:val="00183F3C"/>
    <w:rsid w:val="001D1647"/>
    <w:rsid w:val="00203732"/>
    <w:rsid w:val="00257BFC"/>
    <w:rsid w:val="00277085"/>
    <w:rsid w:val="002A5562"/>
    <w:rsid w:val="00347AB6"/>
    <w:rsid w:val="003A7003"/>
    <w:rsid w:val="003B11F3"/>
    <w:rsid w:val="003B6386"/>
    <w:rsid w:val="003B754F"/>
    <w:rsid w:val="003C32B1"/>
    <w:rsid w:val="003D59DE"/>
    <w:rsid w:val="00437878"/>
    <w:rsid w:val="004647E6"/>
    <w:rsid w:val="004D2A29"/>
    <w:rsid w:val="004F3226"/>
    <w:rsid w:val="0050019F"/>
    <w:rsid w:val="005408F9"/>
    <w:rsid w:val="005864EE"/>
    <w:rsid w:val="005B098D"/>
    <w:rsid w:val="005B38D2"/>
    <w:rsid w:val="005C4DA8"/>
    <w:rsid w:val="005E77A7"/>
    <w:rsid w:val="00640923"/>
    <w:rsid w:val="006678F9"/>
    <w:rsid w:val="006D4361"/>
    <w:rsid w:val="006E0F8C"/>
    <w:rsid w:val="006E396D"/>
    <w:rsid w:val="00726302"/>
    <w:rsid w:val="00756322"/>
    <w:rsid w:val="00763273"/>
    <w:rsid w:val="007A19F7"/>
    <w:rsid w:val="007B3180"/>
    <w:rsid w:val="007B6229"/>
    <w:rsid w:val="007C1415"/>
    <w:rsid w:val="008031AD"/>
    <w:rsid w:val="00832234"/>
    <w:rsid w:val="008739EE"/>
    <w:rsid w:val="008802BB"/>
    <w:rsid w:val="008A2D67"/>
    <w:rsid w:val="00911A67"/>
    <w:rsid w:val="00917FF8"/>
    <w:rsid w:val="0098294D"/>
    <w:rsid w:val="00992A64"/>
    <w:rsid w:val="00994A0A"/>
    <w:rsid w:val="009A614D"/>
    <w:rsid w:val="009A788E"/>
    <w:rsid w:val="009B031C"/>
    <w:rsid w:val="009E26FD"/>
    <w:rsid w:val="00A4524D"/>
    <w:rsid w:val="00AA7603"/>
    <w:rsid w:val="00AF4198"/>
    <w:rsid w:val="00B02AE8"/>
    <w:rsid w:val="00B24E98"/>
    <w:rsid w:val="00B52A09"/>
    <w:rsid w:val="00B6207D"/>
    <w:rsid w:val="00B7184D"/>
    <w:rsid w:val="00B77784"/>
    <w:rsid w:val="00B83209"/>
    <w:rsid w:val="00BD0198"/>
    <w:rsid w:val="00BF0F4C"/>
    <w:rsid w:val="00BF2C0A"/>
    <w:rsid w:val="00C234B5"/>
    <w:rsid w:val="00C80550"/>
    <w:rsid w:val="00D518A9"/>
    <w:rsid w:val="00D83D6D"/>
    <w:rsid w:val="00DB46BE"/>
    <w:rsid w:val="00E07CAB"/>
    <w:rsid w:val="00E45161"/>
    <w:rsid w:val="00E50865"/>
    <w:rsid w:val="00EB328E"/>
    <w:rsid w:val="00EC29A6"/>
    <w:rsid w:val="00ED3FC9"/>
    <w:rsid w:val="00EE79B7"/>
    <w:rsid w:val="00F2488B"/>
    <w:rsid w:val="00F6313E"/>
    <w:rsid w:val="00FA715B"/>
    <w:rsid w:val="00FC5706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6A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4">
    <w:name w:val="heading 4"/>
    <w:basedOn w:val="Normal"/>
    <w:link w:val="Titlu4Caracter"/>
    <w:uiPriority w:val="9"/>
    <w:qFormat/>
    <w:rsid w:val="00911A6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640923"/>
    <w:rPr>
      <w:color w:val="0000FF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rsid w:val="00911A6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911A6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7AB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AB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43787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3787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43787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787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secttl">
    <w:name w:val="s_sec_ttl"/>
    <w:basedOn w:val="Fontdeparagrafimplicit"/>
    <w:rsid w:val="00EE79B7"/>
  </w:style>
  <w:style w:type="character" w:customStyle="1" w:styleId="ssecden">
    <w:name w:val="s_sec_den"/>
    <w:basedOn w:val="Fontdeparagrafimplicit"/>
    <w:rsid w:val="00EE79B7"/>
  </w:style>
  <w:style w:type="character" w:customStyle="1" w:styleId="scapttl">
    <w:name w:val="s_cap_ttl"/>
    <w:basedOn w:val="Fontdeparagrafimplicit"/>
    <w:rsid w:val="003D59DE"/>
  </w:style>
  <w:style w:type="character" w:customStyle="1" w:styleId="scapden">
    <w:name w:val="s_cap_den"/>
    <w:basedOn w:val="Fontdeparagrafimplicit"/>
    <w:rsid w:val="003D59DE"/>
  </w:style>
  <w:style w:type="character" w:customStyle="1" w:styleId="sden">
    <w:name w:val="s_den"/>
    <w:rsid w:val="004F3226"/>
  </w:style>
  <w:style w:type="character" w:customStyle="1" w:styleId="shdr">
    <w:name w:val="s_hdr"/>
    <w:rsid w:val="004F3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4">
    <w:name w:val="heading 4"/>
    <w:basedOn w:val="Normal"/>
    <w:link w:val="Titlu4Caracter"/>
    <w:uiPriority w:val="9"/>
    <w:qFormat/>
    <w:rsid w:val="00911A6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640923"/>
    <w:rPr>
      <w:color w:val="0000FF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rsid w:val="00911A6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911A6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7AB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AB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43787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3787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43787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787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secttl">
    <w:name w:val="s_sec_ttl"/>
    <w:basedOn w:val="Fontdeparagrafimplicit"/>
    <w:rsid w:val="00EE79B7"/>
  </w:style>
  <w:style w:type="character" w:customStyle="1" w:styleId="ssecden">
    <w:name w:val="s_sec_den"/>
    <w:basedOn w:val="Fontdeparagrafimplicit"/>
    <w:rsid w:val="00EE79B7"/>
  </w:style>
  <w:style w:type="character" w:customStyle="1" w:styleId="scapttl">
    <w:name w:val="s_cap_ttl"/>
    <w:basedOn w:val="Fontdeparagrafimplicit"/>
    <w:rsid w:val="003D59DE"/>
  </w:style>
  <w:style w:type="character" w:customStyle="1" w:styleId="scapden">
    <w:name w:val="s_cap_den"/>
    <w:basedOn w:val="Fontdeparagrafimplicit"/>
    <w:rsid w:val="003D59DE"/>
  </w:style>
  <w:style w:type="character" w:customStyle="1" w:styleId="sden">
    <w:name w:val="s_den"/>
    <w:rsid w:val="004F3226"/>
  </w:style>
  <w:style w:type="character" w:customStyle="1" w:styleId="shdr">
    <w:name w:val="s_hdr"/>
    <w:rsid w:val="004F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26257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2024-01-18T06:08:00Z</dcterms:created>
  <dcterms:modified xsi:type="dcterms:W3CDTF">2024-01-18T06:08:00Z</dcterms:modified>
</cp:coreProperties>
</file>